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26, 2026</w:t>
      </w:r>
    </w:p>
    <w:p>
      <w:pPr>
        <w:spacing w:after="0" w:line="31" w:lineRule="exact"/>
        <w:rPr>
          <w:sz w:val="24"/>
          <w:szCs w:val="24"/>
          <w:color w:val="auto"/>
        </w:rPr>
      </w:pPr>
    </w:p>
    <w:p>
      <w:pPr>
        <w:ind w:left="9060"/>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F-3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British Virgin Islands</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r>
        <w:trPr>
          <w:trHeight w:val="194"/>
        </w:trPr>
        <w:tc>
          <w:tcPr>
            <w:tcW w:w="55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 Temasek Boulevard #07-00, Suntec Tower Two,</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Singapore 038989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including zip code, and telephone number, including area code, of registrant’s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Helport AI,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9171 Towne Centre Dr., Suite 335</w:t>
      </w:r>
    </w:p>
    <w:p>
      <w:pPr>
        <w:spacing w:after="0" w:line="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San Diego, CA 92122</w:t>
      </w:r>
    </w:p>
    <w:p>
      <w:pPr>
        <w:spacing w:after="0" w:line="9"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858-925-3271</w:t>
      </w:r>
    </w:p>
    <w:p>
      <w:pPr>
        <w:spacing w:after="0" w:line="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Ying Li,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Lisa Forcht, Esq.</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Hunter Taubman Fischer &amp; Li,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950 Third Avenue, 19th Floor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NY 10022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(212) 530-2206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Facsimile: (212) 202-6380</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Approximate date of commencement of proposed sale to the public: From time to time after the effective date of the registration statement.</w:t>
      </w:r>
    </w:p>
    <w:p>
      <w:pPr>
        <w:spacing w:after="0" w:line="184"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w:t>
      </w:r>
    </w:p>
    <w:p>
      <w:pPr>
        <w:spacing w:after="0" w:line="184"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1" w:lineRule="exact"/>
        <w:rPr>
          <w:sz w:val="24"/>
          <w:szCs w:val="24"/>
          <w:color w:val="auto"/>
        </w:rPr>
      </w:pPr>
    </w:p>
    <w:p>
      <w:pPr>
        <w:ind w:left="380" w:hanging="318"/>
        <w:spacing w:after="0" w:line="282" w:lineRule="auto"/>
        <w:tabs>
          <w:tab w:leader="none" w:pos="3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“new or revised financial accounting standard” refers to any update issued by the Financial Accounting Standards Board to its Accounting Standards Codification after April 5, 2012.</w:t>
      </w:r>
    </w:p>
    <w:p>
      <w:pPr>
        <w:spacing w:after="0" w:line="158"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this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580390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5" w:right="339" w:bottom="578" w:gutter="0" w:footer="0" w:header="0"/>
        </w:sectPr>
      </w:pPr>
    </w:p>
    <w:bookmarkStart w:id="1" w:name="page2"/>
    <w:bookmarkEnd w:id="1"/>
    <w:p>
      <w:pPr>
        <w:jc w:val="both"/>
        <w:spacing w:after="0" w:line="268" w:lineRule="auto"/>
        <w:rPr>
          <w:sz w:val="20"/>
          <w:szCs w:val="20"/>
          <w:color w:val="auto"/>
        </w:rPr>
      </w:pPr>
      <w:r>
        <w:rPr>
          <w:rFonts w:ascii="Times New Roman" w:cs="Times New Roman" w:eastAsia="Times New Roman" w:hAnsi="Times New Roman"/>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FF0000"/>
        </w:rPr>
        <w:t>SUBJECT TO COMPLETION, DATED MARCH 26, 2026</w:t>
      </w:r>
    </w:p>
    <w:p>
      <w:pPr>
        <w:spacing w:after="0" w:line="1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4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Preferred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215,942 Ordinary Shares offered by Selling Shareholders</w:t>
      </w:r>
    </w:p>
    <w:p>
      <w:pPr>
        <w:spacing w:after="0" w:line="12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in one or more offerings, offer and sell up to $100,000,000 in the aggregate of ordinary shares, par value $0.0001 (the “Ordinary Shares”), preferred shares, warrants to purchase Ordinary Shares or preferred shares, debt securities, rights or any combination of the foregoing, either individually or as units comprised of one or more of the other securities.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0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prospectus also related to the resale by certain selling shareholders (the “Selling Shareholders”) described herein of an aggregate of 215,942 Ordinary Shares of Helport AI Limited (the “Resale Shares”). The Resale Shares were issued pursuant to two subscription agreements dated October 2, 2025, and November 15, 2025, respectively. The Selling Shareholders may, from time to time, sell, transfer, or otherwise dispose of any or all of their Resale Shares registered herein on any stock exchange, market, or trading facility on which the Resale Shares are traded or in private transactions. These dispositions may be at fixed prices, at prevailing market prices at the time of sale, at prices related to the prevailing market price, at varying prices determined at the time of sale, or at negotiated prices. We will not receive any of the proceeds from the sale or other disposition by the Selling Shareholders of their Resale Shares, but we will bear all costs, fees and expenses in connection with the registration of the Resale Shares. The Selling Shareholders will bear all commissions and discounts, if any, attributable to the sale of their Resale Shares offered for resale through this prospectus. For information regarding the Selling Shareholders and the times and manner in which they may offer or sell the Resale Shares, see “Selling Shareholders” and “Plan of Distribution.”</w:t>
      </w:r>
    </w:p>
    <w:p>
      <w:pPr>
        <w:spacing w:after="0" w:line="11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This prospectus provides a general description of the securities we or the Selling Shareholders may offer. We will provide the specific terms of the securities offered in one or more supplements to this prospectus. We may also authorize one or more free writing prospectuses to be provided to you in connection with these offerings. The prospectus supplement and any related free writing prospectus may add, update or change information contained in this prospectus. You should read carefully this prospectus, the applicable prospectus supplement and any related free writing prospectus, as well as the documents incorporated or deemed to be incorporated by reference, before you invest in any of our securities. </w:t>
      </w:r>
      <w:r>
        <w:rPr>
          <w:rFonts w:ascii="Times New Roman" w:cs="Times New Roman" w:eastAsia="Times New Roman" w:hAnsi="Times New Roman"/>
          <w:sz w:val="18"/>
          <w:szCs w:val="18"/>
          <w:b w:val="1"/>
          <w:bCs w:val="1"/>
          <w:color w:val="auto"/>
        </w:rPr>
        <w:t>This prospectus may not be used to offer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or sell any securities unless accompanied by the applicable prospectus supplement.</w:t>
      </w:r>
    </w:p>
    <w:p>
      <w:pPr>
        <w:spacing w:after="0" w:line="1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Pursuant to General Instruction I.B.5. of Form F-3, in no event will we sell the securities covered hereby in a public primary offering with a value exceeding more than one-third of the aggregate market value of our Ordinary Shares in any 12-month period so long as the aggregate market value of our outstanding voting and non-voting Ordinary Shares held by non-affiliates is below $75 million. During the 12 calendar months prior to and including the date of this prospectus, we have not offered or sold any securities pursuant to General Instruction I.B.5 of Form F-3. The aggregate market value of our outstanding voting and non-voting Ordinary Shares held by non-affiliates as of March 26, 2026 was approximately $66.58 million based on the closing price of $3.30 per Ordinary Share on January 27, 2026 and 20,177,224 Ordinary Shares held by non-affiliates as of March 26, 2026.</w:t>
      </w:r>
    </w:p>
    <w:p>
      <w:pPr>
        <w:spacing w:after="0" w:line="10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Ordinary Shares and Warrants, with each whole Warrant entitling the holder thereof to purchase one Ordinary Share at a purchase price of $11.50 per share (the “Warrants”), are listed on the Nasdaq Capital Market under the symbols “HPAI” and “HPAIW”, respectively. The applicable prospectus supplement will contain information, where applicable, as to other listings, if any, on the Nasdaq Capital Market or other securities exchange of the securities covered by the prospectus supplement.</w:t>
      </w:r>
    </w:p>
    <w:p>
      <w:pPr>
        <w:spacing w:after="0" w:line="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a high degree of risk. See “Risk Factors” on page 6 of this prospectus and in the documents incorporated by reference in this prospectus, as updated in the applicable prospectus supplement, any related free writing prospectus and other future filings we make with the U.S. Securities and Exchange Commission (the “SEC”) that are incorporated by reference into this prospectus, for a discussion of the factors you should consider carefully before deciding to purchase our securities.</w:t>
      </w:r>
    </w:p>
    <w:p>
      <w:pPr>
        <w:spacing w:after="0" w:line="9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and the Selling Shareholders may sell these securities directly to investors, through agents designated from time to time or to or through underwriters or dealers.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The price to the public of such securities and the net proceeds we expect to receive from such sale will also be set forth in a prospectus supplement.</w:t>
      </w:r>
    </w:p>
    <w:p>
      <w:pPr>
        <w:spacing w:after="0" w:line="9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00" w:type="dxa"/>
            <w:vAlign w:val="bottom"/>
          </w:tcPr>
          <w:p>
            <w:pPr>
              <w:ind w:left="3920"/>
              <w:spacing w:after="0"/>
              <w:rPr>
                <w:sz w:val="20"/>
                <w:szCs w:val="20"/>
                <w:color w:val="auto"/>
              </w:rPr>
            </w:pPr>
            <w:r>
              <w:rPr>
                <w:rFonts w:ascii="Times New Roman" w:cs="Times New Roman" w:eastAsia="Times New Roman" w:hAnsi="Times New Roman"/>
                <w:sz w:val="18"/>
                <w:szCs w:val="18"/>
                <w:b w:val="1"/>
                <w:bCs w:val="1"/>
                <w:color w:val="auto"/>
              </w:rPr>
              <w:t>The date of this prospectus is</w:t>
            </w:r>
          </w:p>
        </w:tc>
        <w:tc>
          <w:tcPr>
            <w:tcW w:w="4740" w:type="dxa"/>
            <w:vAlign w:val="bottom"/>
          </w:tcPr>
          <w:p>
            <w:pPr>
              <w:jc w:val="right"/>
              <w:ind w:right="3830"/>
              <w:spacing w:after="0"/>
              <w:rPr>
                <w:sz w:val="20"/>
                <w:szCs w:val="20"/>
                <w:color w:val="auto"/>
              </w:rPr>
            </w:pPr>
            <w:r>
              <w:rPr>
                <w:rFonts w:ascii="Times New Roman" w:cs="Times New Roman" w:eastAsia="Times New Roman" w:hAnsi="Times New Roman"/>
                <w:sz w:val="18"/>
                <w:szCs w:val="18"/>
                <w:b w:val="1"/>
                <w:bCs w:val="1"/>
                <w:color w:val="auto"/>
              </w:rPr>
              <w:t>, 2026.</w:t>
            </w:r>
          </w:p>
        </w:tc>
      </w:tr>
      <w:tr>
        <w:trPr>
          <w:trHeight w:val="331"/>
        </w:trPr>
        <w:tc>
          <w:tcPr>
            <w:tcW w:w="65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501"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26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6"/>
        </w:trPr>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About this Prospectus</w:t>
            </w:r>
          </w:p>
        </w:tc>
        <w:tc>
          <w:tcPr>
            <w:tcW w:w="62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ii</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 Regarding Forward-Looking Statements</w:t>
            </w:r>
          </w:p>
        </w:tc>
        <w:tc>
          <w:tcPr>
            <w:tcW w:w="6260" w:type="dxa"/>
            <w:vAlign w:val="bottom"/>
            <w:shd w:val="clear" w:color="auto" w:fill="CCEEFF"/>
          </w:tcPr>
          <w:p>
            <w:pPr>
              <w:spacing w:after="0"/>
              <w:rPr>
                <w:sz w:val="17"/>
                <w:szCs w:val="17"/>
                <w:color w:val="auto"/>
              </w:rPr>
            </w:pP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Prospectus Summary</w:t>
            </w:r>
          </w:p>
        </w:tc>
        <w:tc>
          <w:tcPr>
            <w:tcW w:w="7260" w:type="dxa"/>
            <w:vAlign w:val="bottom"/>
            <w:gridSpan w:val="2"/>
            <w:shd w:val="clear" w:color="auto" w:fill="CCEEFF"/>
          </w:tcPr>
          <w:p>
            <w:pPr>
              <w:jc w:val="center"/>
              <w:ind w:left="617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7260" w:type="dxa"/>
            <w:vAlign w:val="bottom"/>
            <w:gridSpan w:val="2"/>
            <w:shd w:val="clear" w:color="auto" w:fill="CCEEFF"/>
          </w:tcPr>
          <w:p>
            <w:pPr>
              <w:jc w:val="center"/>
              <w:ind w:left="6170"/>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Use of Proceeds</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Dilution</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the Securities We May Offer</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Selling Shareholders</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Experts</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Information</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Information Incorporated by Reference</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96"/>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Enforceability of Civil Liabilities</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5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62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r>
      <w:tr>
        <w:trPr>
          <w:trHeight w:val="175"/>
        </w:trPr>
        <w:tc>
          <w:tcPr>
            <w:tcW w:w="398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Indemnification for Securities Act Liabilities</w:t>
            </w:r>
          </w:p>
        </w:tc>
        <w:tc>
          <w:tcPr>
            <w:tcW w:w="7260" w:type="dxa"/>
            <w:vAlign w:val="bottom"/>
            <w:gridSpan w:val="2"/>
            <w:shd w:val="clear" w:color="auto" w:fill="CCEEFF"/>
          </w:tcPr>
          <w:p>
            <w:pPr>
              <w:jc w:val="center"/>
              <w:ind w:left="6190"/>
              <w:spacing w:after="0" w:line="176" w:lineRule="exact"/>
              <w:rPr>
                <w:sz w:val="20"/>
                <w:szCs w:val="20"/>
                <w:color w:val="auto"/>
              </w:rPr>
            </w:pPr>
            <w:r>
              <w:rPr>
                <w:rFonts w:ascii="Times New Roman" w:cs="Times New Roman" w:eastAsia="Times New Roman" w:hAnsi="Times New Roman"/>
                <w:sz w:val="18"/>
                <w:szCs w:val="18"/>
                <w:color w:val="auto"/>
                <w:w w:val="99"/>
              </w:rPr>
              <w:t>36</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6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under the Securities Act of 1933, as amended, or the Securities Act, using a “shelf” registration process. Under this shelf registration process, we may from time to time sell ordinary shares, preferred shares, warrants to purchase ordinary shares or preferred shares, debt securities or any combination of the foregoing, either individually or as units comprised of one or more of the other securities, in one or more offerings up to a total dollar amount of $100,000,000, and the selling shareholders (the “Selling Shareholders”) referred to in this prospectus and identified in supplements to this prospectus may sell up to an aggregate of 215,942 Ordinary Shares, par value $0.0001 per share (the “Resale Shares”). We have provided to you in this prospectus a general description of the securities we and the Selling Shareholders may offer. Each time we sell securities under this shelf registration, we will, to the extent required by law,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Notwithstanding the foregoing, the Selling Shareholders may sell their Resale Shares offered by them and registered hereby without being accompanied by a prospectus supplement. To the extent there is a conflict between the information contained in this prospectus and the prospectus supplement or any related free writing prospectus, you should rely on the information in the prospectus supplement or the related free writing prospectus; provided that if any statement in one of these documents is inconsistent with a statement in another document having a later date – for example, a document filed after the date of this prospectus and incorporated by reference into this prospectus or any prospectus supplement or any related free writing prospectus – the statement in the document having the later date modifies or supersedes the earlier statement.</w:t>
      </w:r>
    </w:p>
    <w:p>
      <w:pPr>
        <w:spacing w:after="0" w:line="19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Neither we nor the Selling Shareholders have authorized any dealer, agent or other person to give any information or to make any representation other than those contained or incorporated by reference in this prospectus and any accompanying prospectus supplement, or any related free writing prospectus that we may authorize to be provided to you. You must not rely upon any information or representation not contained or incorporated by reference in this prospectus or an accompanying prospectus supplement, or any related free writing prospectus that we may authorize to be provided to you. This prospectus and the accompanying prospectus supplement, if any, do not constitute an offer to sell or the solicitation of an offer to buy any securities other than the registered securities to which they relate, nor do this prospectus and the accompanying prospectus supplement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(as our business, financial condition, results of operations and prospects may have changed since that date), even though this prospectus, any applicable prospectus supplement or any related free writing prospectus is delivered or securities are sold on a later date.</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Selling Shareholders are not offering to sell or seeking offers to purchase securities in any jurisdiction where the offer or sale is not permitted. Neither we nor the Selling Shareholders have done anything that would permit this offering or possession or distribution of this prospectus in any jurisdiction where action for that purpose is required, other than the United States. Persons outside the jurisdiction of the United States who come into possession of this prospectus are required to inform themselves about and to observe any restrictions relating to this offering and distribution of this prospectus applicable to that jurisdiction.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permitted by SEC rules and regulations, the registration statement of which this prospectus forms a part includes additional information not contained in this prospectus. You may read the registration statement and the other reports we file with the SEC at its website or at its offices described below under “Where You Can Find More Information.”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in this prospectus to “Helport AI,” “we,” “us,” “our,” the “Company,” the “Registrant” or similar words refer to Helport AI Limited, together with our subsidiaries.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prospectus and our SEC filings that are incorporated by reference into this prospectus contain or incorporate by reference forward-looking statements within the meaning of Section 27A of the Securities Act and Section 21E of the Exchange Act. All statements other than statements of historical fact are “forward-looking statements,” including any projections of earnings, revenue or other financial items, any statements of the plans, strategies and objectives of management for future operations, any statements concerning proposed new projects or other developments, any statements regarding future economic conditions or performance, any statements of management’s beliefs, goals, strategies, intentions and objectives, and any statements of assumptions underlying any of the foregoing. The words “believe,” “anticipate,” “estimate,” “plan,” “expect,” “intend,” “may,” “could,” “should,” “potential,” “likely,” “projects,” “continue,” “will,” and “would” and any variation of the foregoing and similar expressions are intended to identify forward-looking statements, although not all forward-looking statements contain these identifying words. Forward-looking statements reflect our current views with respect to future events, are based on assumptions and are subject to risks and uncertainties. We cannot guarantee that we actually will achieve the plans, intentions or expectations expressed in our forward-looking statements and you should not place undue reliance on these statements. There are a number of important factors that could cause our actual results to differ materially from those indicated or implied by forward-looking statements. These important factors include those discussed under the heading “Risk Factors” contained or incorporated by reference in this prospectus and in the applicable prospectus supplement and any free writing prospectus we may authorize for use in connection with a specific offering. These factors and the other cautionary statements made in this prospectus should be read as being applicable to all related forward-looking statements whenever they appear in this prospectus. Except as required by law, we undertake no obligation to update publicly any forward-looking statements, whether as a result of new information, future events or otherwise.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451485</wp:posOffset>
            </wp:positionV>
            <wp:extent cx="7127875" cy="6750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7875" cy="6750685"/>
                    </a:xfrm>
                    <a:prstGeom prst="rect">
                      <a:avLst/>
                    </a:prstGeom>
                    <a:noFill/>
                  </pic:spPr>
                </pic:pic>
              </a:graphicData>
            </a:graphic>
          </wp:anchor>
        </w:drawing>
        <w:t>PROSPECTUS SUMMARY</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appearing elsewhere in this prospectus and in the documents we incorporate by reference into this prospectus. The summary is not complete and does not contain all of the information that you should consider before investing in our Ordinary Shares. After you read this summary, you should read and consider carefully the entire prospectus and any prospectus supplement and the more detailed information and financial statements and related notes that are incorporated by reference into this prospectus and any prospectus supplement. If you invest in our Ordinary Share, you are assuming a high degree of risk</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an AI technology company dual-headquartered in Singapore and San Diego, California, U.S. We are committed to assisting enterprises in accelerating sales growth and improving customer satisfaction through AI-powered customer engagement. Our proprietary offering, Helport AI Assist software (“AI Assist”), provides real-time intelligent guidance for customer engagement professionals in business settings. In addition, we provide AI+BPO (Business Process Outsourcing) services to facilitate customer engagement, assisting our clients in achieving optimal sales performance and cost reduction.</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For the fiscal year ended June 30, 2025, we introduced new product offerings to further expand our portfolio of AI-driven solutions. “HelportGo”, is our flagship mobile application designed to improve productivity for on-the-go professionals. Extending enterprise-grade AI capabilities directly to individual users on demand, HelportGo is designed to offer immediate, transformative call assistance to facilitate conversion into structured, actionable business intelligence.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“Helport Remote”, the second product we introduced in 2025, is a workforce monitoring and management tool designed to support the evolving needs of remote contact centers. Engineered specifically for large-scale, multinational contact center operations, Helport Remote aims to empower management teams to achieve greater visibility, control, compliance, and efficiency in an increasingly decentralized workforce environment.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Finally, we are introducing “HyperX”, a digital, autonomous agent platform designed to transform enterprise knowledge into action. Trained on companies’ proprietary data, HyperX enables one-click deployment of digital, expert AI agents capable of understanding complex operations, executing tasks, and interacting with users across digital environments.</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“AI Assist” is software that targets professionals as its users, which include enterprises’ customer contact center representatives as well as other sales professionals, such as real estate sales brokers, insurance sales brokers, and mortgage sales brokers, etc. AI Assist features four primary functions, including “Agent Assistant”, “QA Assistant”, “Supervisor Assistant”, and “Knowledge Base Assistant”. “Agent Assistant” is a feature that provides real-time speech guidance to customer engagement agents and professionals. It also has features such as flexible learning, training, testing, and certification, designed to shorten the training time of newly hired customer engagement agents and reduce enterprises’ costs of training and hiring customer engagement staff. The “QA Assistant” feature is designed to ensure that the agents’ conversations with customers are legally compliant and conform to internal company standards, while also providing real-time alerts for non-compliant situations and suggestions for remedial corrections for the agents. The “Supervisor Assistant” function offers supervisors with real-time, quantitative visibility of all team members. The “Knowledge Base Assistant” function enables rapid construction of knowledge bases (utilizing large language models) and the continuous upgrading of such knowledge bases, which is one of our key capabilities for AI training and labeling. With these functions, we believe that AI Assist is an all-in-one tool that helps companies enhance customer engagement efficiency and can assist them in their efforts to achieve exceptional sales performance.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clients in need of customer engagement professionals, we offer our AI+BPO service, which combines AI software with customer contact agents. With this service offering, we provide customer contact agents who utilize our AI Assist software to perform their tasks. In this way, we help clients enjoy flexible, outsourced professional services while showcasing the efficacy of our AI software. Our AI technology and digital platform enable real-time remote monitoring of the customer engagement professionals, compliance and quality checks of their work, and knowledge base construction to facilitate customer engagement. Our AI+BPO offering is designed for reducing agent training time while accelerating AI deployment and delivering higher operational and economic efficiency.</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27" w:right="459" w:bottom="1440" w:gutter="0" w:footer="0" w:header="0"/>
        </w:sectPr>
      </w:pPr>
    </w:p>
    <w:bookmarkStart w:id="6" w:name="page7"/>
    <w:bookmarkEnd w:id="6"/>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59277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7875" cy="5927725"/>
                    </a:xfrm>
                    <a:prstGeom prst="rect">
                      <a:avLst/>
                    </a:prstGeom>
                    <a:noFill/>
                  </pic:spPr>
                </pic:pic>
              </a:graphicData>
            </a:graphic>
          </wp:anchor>
        </w:drawing>
        <w:t>We have also made progress on “Helphub”, which is an AI integrated contact center BPO platform that serves both companies providing and seeking BPO services. Helphub is a crowdsourcing digital platform for contact center operations, providing enterprise clients with the flexibility to post tasks/jobs on Helphub and monitor the execution process anytime and anywhere. BPO providers, on the other hand, can view and take on projects that fit their expertise, while benefiting from AI-assisted management software. Helphub aims to address the challenges faced by companies as they scale, such as longer training cycles, lack of agent proficiency, and talent shortages. We are continuously refining Helphub across key strategic pillars— including target customer segmentation, quality management methodologies, and partnership models—to lay a foundation for its commercial scaling.</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fiscal year ended June 30, 2025, we had revenue of $34.9 million, and net income of $1.9 million. Among our revenue sources, the revenue generated from AI services provided under AI Assist contributed 99.4% for the fiscal year ended June 30, 2025. For the fiscal year ended June 30, 2024, we had revenue of $29.5 million, and net income of $7.37 million. Among our revenue sources, the revenue generated from AI services provided under AI Assist contributed 100% for the fiscal year ended June 30, 2024. For the fiscal years ended June 30, 2023, we had revenue of $12.73 million and net income of $4.81 million. Among our revenue sources, the revenue generated from AI services provided under AI Assist contributed 99.70% for the fiscal years ended June 30, 2023 and the revenue generated from medical consulting service contributed 0.30%. The medical consulting business was discontinued after January 2023. We started providing AI service when we launched our key Software as a Service (“SaaS”) product, AI Assist, in April 2022, which has become our business focus ever since. For the fiscal years ended June 30, 2025, the revenue generated from AI+BPO was $0.2 million. For the fiscal years ended June 30, 2024, and 2023, we did not generate any revenue from AI+BPO.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2, 2025, the Company entered into a subscription agreement (the “Youth Spring Subscription Agreement”) with Youth Spring Limited, a Samoa company (“Youth Spring”). Pursuant to the Youth Spring Subscription Agreement, Youth Spring agreed to subscribe for and purchase from the Company, and the Company agreed to issue and sell to Youth Spring, 125,000 Ordinary Shares of the Company, par value US$0.0001 per share, for an aggregate purchase price of $500,000, in accordance with Regulation S under the Securities Act of 1933, as amended (“Regulation S”). On March 25, 2026, the Company issued 125,000 Ordinary Shares to Youth Spring, and the transaction contemplated by the Youth Spring Subscription Agreement was consummated on the same day.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15, 2025, the Company entered into a subscription agreement (the “FountainX Subscription Agreement,” together with Youth Spring Subscription Agreement, the “SPAs”) with FountainX Ltd., a British Virgin Islands company (“FountainX”). Pursuant to the FountainX Subscription Agreement, FountainX agreed to subscribe for and purchase from the Company, and the Company agreed to issue and sell to FountainX, 114,815 Ordinary Shares of the Company, par value US$0.0001 per share, for an aggregate purchase price of $1,240,000, in accordance with Regulation S. On March 25, 2026, the Company issued 90,942 Ordinary Shares to FountainX.</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business company incorporated in the British Virgin Islands. Our principal executive office is located at 9 Temasek Boulevard #07-00, Suntec Tower Two, Singapore 038989. Our telephone number is +65 82336584.</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which contains in electronic form each of the reports and other information that we have filed electronically with the SEC.</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agent for service of process in the United States is Helport AI, Inc., 9171 Towne Centre Dr., Suite 335, San Diego, CA 92122.</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4"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763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7875" cy="7633335"/>
                    </a:xfrm>
                    <a:prstGeom prst="rect">
                      <a:avLst/>
                    </a:prstGeom>
                    <a:noFill/>
                  </pic:spPr>
                </pic:pic>
              </a:graphicData>
            </a:graphic>
          </wp:anchor>
        </w:drawing>
        <w:t>Organizational structure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following chart illustrates the corporate structure of the Company as of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October 2, 2025, the Company entered into the Youth Spring Subscription Agreement with Youth Spring. Pursuant to the Youth Spring Subscription Agreement, Youth Spring agreed to subscribe for and purchase from the Company, and the Company agreed to issue and sell to Youth Spring, an aggregate of 125,000 Ordinary Shares of the Company, par value US$0.0001 per share, for an aggregate purchase price of $500,000, in accordance with Regulation S under the Securities Act of 1933, as amended. On March 25, 2026, the Company issued 125,000 Ordinary Shares to Youth Spring, and the transaction contemplated by the Youth Spring Subscription Agreement was consummated on the same day.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15, 2025, the Company entered into the FountainX Subscription Agreement with FountainX Ltd. Pursuant to the FountainX Subscription Agreement, FountainX agreed to subscribe for and purchase from the Company, and the Company agreed to issue and sell to FountainX, 114,815 Ordinary Shares of the Company, par value US$0.0001 per share, for an aggregate purchase price of $1,240,000, in accordance with Regulation S. On March 25, 2026, the Company issued 90,942 Ordinary Shares to FountainX.</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parties to the SPAs have each made customary representations, warranties and covenants, including, among other things, (a) the Purchasers are “non-U.S. Persons” as defined in Regulation S and are acquiring the Shares for the purpose of investment, (b) the absence of any undisclosed material adverse effects, and (c) the absence of legal proceedings that affect the completion of the transaction contemplated by the SPAs.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form of the SPAs is filed as Exhibit 4.10 to the registration statement on Form F-3, of which this prospectus forms a part. The foregoing is only a brief description of the material terms of the SPAs and does not purport to be a complete description of the rights and obligations of the parties thereunder and is qualified in its entirety by reference to such exhibit.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An investment in our securities involves significant risks. Below is a summary of certain material risks we face, organized under relevant headings. These risks are discussed more fully under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beginning on page 6 of this prospectus and the risk factors set forth in our most recent annual report on Form 20-F, filed on November 17, 2025 (the “2025 Annual Report”). You should carefully consider such risks before making an investment decision. Additional risks not presently known to us or that we currently deem immaterial may also impair our business operations. Our business, financial condition, results of operations or prospects could be materially and adversely affected by any of these risks.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460" w:top="900"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8122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7875" cy="8122285"/>
                    </a:xfrm>
                    <a:prstGeom prst="rect">
                      <a:avLst/>
                    </a:prstGeom>
                    <a:noFill/>
                  </pic:spPr>
                </pic:pic>
              </a:graphicData>
            </a:graphic>
          </wp:anchor>
        </w:drawing>
        <w:t>Risks Related to Doing Business in the PRC</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relating to doing business in the PRC include, but are not limited to, the following:</w:t>
      </w:r>
    </w:p>
    <w:p>
      <w:pPr>
        <w:spacing w:after="0" w:line="225" w:lineRule="exact"/>
        <w:rPr>
          <w:sz w:val="20"/>
          <w:szCs w:val="20"/>
          <w:color w:val="auto"/>
        </w:rPr>
      </w:pPr>
    </w:p>
    <w:p>
      <w:pPr>
        <w:jc w:val="both"/>
        <w:ind w:left="960" w:hanging="320"/>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experience difficulties in effecting service of legal process, enforcing foreign judgments, or bringing actions in China against Helport AI or its management that reside outside the United States based on foreign laws. It may also be difficult for you or overseas regulators to conduct investigations or collect evidence within China (see the risk factor beginning on page 6 of this prospectus);</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greater oversight by the CAC over data security could adversely impact our business (see the risk factor beginning on page 2 of our 2025 Annual Report);</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China’s economic, political, or social conditions or government policies could have a material adverse effect on our business and operations (see the risk factor beginning on page 3 of our 2025 Annual Report);</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the interpretation and enforcement of PRC laws and regulations and changes in policies, rules, and regulations in China, which may be quick with little advance notice, could limit the legal protection available to you and us (see the risk factor beginning on page 4 of our 2025 Annual Report);</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exchange rates could have a material and adverse effect on our results of operations and the value of your investment (see the risk factor beginning on page 4 of our 2025 Annual Report);</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customers and suppliers has entered into an Authorization for Payment Agreement with our Singapore operating entity and a third-party agent. Our financial condition and liquidity position may be subject to credit risks of the third-party agent (see the risk factor beginning on page 5 of our 2025 Annual Report); and</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PRC government imposes further restrictions and limitations on our PRC customers’ ability to transfer or distribute cash overseas., our business, financial condition, and results of operations could be materially adversely affected (see the risk factor beginning on page 6 of our 2025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relating to our business include, but are not limited to, the following:</w:t>
      </w:r>
    </w:p>
    <w:p>
      <w:pPr>
        <w:spacing w:after="0" w:line="225" w:lineRule="exact"/>
        <w:rPr>
          <w:sz w:val="20"/>
          <w:szCs w:val="20"/>
          <w:color w:val="auto"/>
        </w:rPr>
      </w:pPr>
    </w:p>
    <w:p>
      <w:pPr>
        <w:ind w:left="96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anticipate or successfully implement new technologies could render our contact-center solution services less competitive and reduce our revenue and market share (see the risk factor beginning on page 8 of this prospectus);</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developer partners for AI product and system development is significant. If these third parties, or their critical staff members, are unable or unwilling to continue their cooperation with us, it could have a detrimental effect on our business (see the risk factor beginning on page 7 of our 2025 Annual Report);</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open-source software in our products may compromise our ability to protect the confidentiality of our proprietary information, potentially harming our business and competitive position (see the risk factor beginning on page 9 of our 2025 Annual Report);</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use software licensed from third parties, or our use of open-source software under license terms that interfere with our proprietary rights, could disrupt our business (see the risk factor beginning on page 9 of our 2025 Annual Report);</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in the highly competitive AI Contact Integrated Solutions Industry, and we may not be able to compete successfully against existing or new competitors, which could reduce our market share and adversely affect our competitive position and financial performance (see the risk factor beginning on page 8 of this prospectus);</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may rely on a primary supplier or a few customers that account for more than 10% of our total purchases. Interruptions in operations in such major clients or supplier may have an adverse effect on our business, financial condition, and results of operations (see the risk factor beginning on page 10 of our 2025 Annual Report); and</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third-party cloud computing platforms to develop software and store data. If we fail to maintain our relationships with these platforms, or if the service fees charged by these platforms change to our detriment, our business may be adversely affected (see the risk factor beginning on page 11 of our 2025 Annual Report).</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00" w:right="4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210185</wp:posOffset>
            </wp:positionH>
            <wp:positionV relativeFrom="page">
              <wp:posOffset>433705</wp:posOffset>
            </wp:positionV>
            <wp:extent cx="7127875" cy="62020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7875" cy="6202045"/>
                    </a:xfrm>
                    <a:prstGeom prst="rect">
                      <a:avLst/>
                    </a:prstGeom>
                    <a:noFill/>
                  </pic:spPr>
                </pic:pic>
              </a:graphicData>
            </a:graphic>
          </wp:anchor>
        </w:drawing>
        <w:t>Risks Related to Doing Business in Singapore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relating to us doing business in Singapore include, but are not limited to, the following:</w:t>
      </w:r>
    </w:p>
    <w:p>
      <w:pPr>
        <w:spacing w:after="0" w:line="225" w:lineRule="exact"/>
        <w:rPr>
          <w:sz w:val="20"/>
          <w:szCs w:val="20"/>
          <w:color w:val="auto"/>
        </w:rPr>
      </w:pPr>
    </w:p>
    <w:p>
      <w:pPr>
        <w:ind w:left="960" w:hanging="320"/>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rely on dividends and other distributions on equity paid by our subsidiary in Singapore to fund any cash and financing requirements we may have (see the risk factor beginning on page 20 of our 2025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Securities</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Risks and uncertainties relating to our securities include, but are not limited to, the following:</w:t>
      </w:r>
    </w:p>
    <w:p>
      <w:pPr>
        <w:spacing w:after="0" w:line="225" w:lineRule="exact"/>
        <w:rPr>
          <w:sz w:val="20"/>
          <w:szCs w:val="20"/>
          <w:color w:val="auto"/>
        </w:rPr>
      </w:pPr>
    </w:p>
    <w:p>
      <w:pPr>
        <w:jc w:val="both"/>
        <w:ind w:left="960" w:hanging="320"/>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Nasdaq has proposed a new $5 million minimum market value continued listing requirement that, if approved, could result in immediate suspension and delisting of our Ordinary Shares without any cure period or opportunity to regain compliance (see the risk factor beginning on page 14 of this prospectus).</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implement and maintain an effective system of internal controls, we may be unable to accurately report our results of operations, meet our reporting obligations, or prevent fraud, and investor confidence and the market price of the Ordinary Shares may be materially and adversely affected (see the risk factor beginning on page 21 of our 2025 Annual Report);</w:t>
      </w:r>
    </w:p>
    <w:p>
      <w:pPr>
        <w:spacing w:after="0" w:line="175"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Helport AI may or may not pay cash dividends in the foreseeable future (see the risk factor beginning on page 22 of our 2025 Annual Report);</w:t>
      </w:r>
    </w:p>
    <w:p>
      <w:pPr>
        <w:spacing w:after="0" w:line="161"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our securities in the public market by our existing shareholders could cause the price of our securities to fall, and certain Selling Shareholders may earn a positive rate of return on their investment, even if certain other shareholders experience a negative rate of return (see the risk factor beginning on page 13 of this prospectus);</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6"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Helport AI’s Amended and Restated Memorandum and Articles of Association may inhibit a takeover of Helport AI, which could limit the price investors might be willing to pay in the future for Helport AI’s securities and could entrench management (see the risk factor beginning on page 22 of our 2025 Annual Report);</w:t>
      </w:r>
    </w:p>
    <w:p>
      <w:pPr>
        <w:spacing w:after="0" w:line="175" w:lineRule="exact"/>
        <w:rPr>
          <w:rFonts w:ascii="Times New Roman" w:cs="Times New Roman" w:eastAsia="Times New Roman" w:hAnsi="Times New Roman"/>
          <w:sz w:val="18"/>
          <w:szCs w:val="18"/>
          <w:color w:val="auto"/>
        </w:rPr>
      </w:pPr>
    </w:p>
    <w:p>
      <w:pPr>
        <w:jc w:val="both"/>
        <w:ind w:left="960" w:hanging="320"/>
        <w:spacing w:after="0" w:line="261"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“foreign private issuer” under the rules and regulations of the SEC, Helport AI is permitted to file less or different information with the SEC than a company incorporated in the United States or otherwise subject to these rules and is permitted to follow certain home-country corporate governance practices in lieu of certain Nasdaq requirements applicable to U.S. issuers (see the risk factor beginning on page 23 of our 2025 Annual Report);</w:t>
      </w:r>
    </w:p>
    <w:p>
      <w:pPr>
        <w:spacing w:after="0" w:line="179"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additional our Ordinary Shares in connection with future financings, acquisitions, investments, the Incentive Plan, or otherwise will dilute all other shareholders (see the risk factor beginning on page 25 of our 2025 Annual Report);</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Helport AI is classified as a “passive foreign investment company” (see the risk factor beginning on page 26 of our 2025 Annual Report); and</w:t>
      </w:r>
    </w:p>
    <w:p>
      <w:pPr>
        <w:spacing w:after="0" w:line="161" w:lineRule="exact"/>
        <w:rPr>
          <w:rFonts w:ascii="Times New Roman" w:cs="Times New Roman" w:eastAsia="Times New Roman" w:hAnsi="Times New Roman"/>
          <w:sz w:val="18"/>
          <w:szCs w:val="18"/>
          <w:color w:val="auto"/>
        </w:rPr>
      </w:pPr>
    </w:p>
    <w:p>
      <w:pPr>
        <w:ind w:left="960" w:hanging="320"/>
        <w:spacing w:after="0" w:line="282"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Techniques employed by short sellers may drive down the market price of our Ordinary Shares (see the risk factor beginning on page 16 of this prospectus).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460" w:top="900" w:right="47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you make a decision to invest in our securities, you should consider carefully the risks described below. You should also carefully consider the risk factors set forth under “Risk Factors” described in our 2025 Annual Report, together with all other information contained or incorporated by reference in this prospectus and any applicable prospectus supplement and in any related free writing prospectus in connection with a specific offering, before making an investment decision. Each of the risk factors could materially and adversely affect our business, operating results, financial condition and prospects, as well as the value of an investment in our securities, and the occurrence of any of these risks might cause you to lose all or part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Doing Business in the PRC</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experience difficulties in effecting service of legal process, enforcing foreign judgments, or bringing actions in China against Helport AI or its management that reside outside the United States based on foreign laws. It may also be difficult for you or overseas regulators to conduct investigations or collect evidence within China.</w:t>
      </w:r>
    </w:p>
    <w:p>
      <w:pPr>
        <w:spacing w:after="0" w:line="17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company incorporated under the laws of the British Virgin Islands, we conduct our operations through our subsidiaries, but are reliant upon customers who are based in China. In addition, three out of Helport AI’s five directors and officers;, namely Guanghai Li, Di Shen, and Xinyue (Jasmine) Geffner, reside in the PRC. A substantial portion of the assets of Helport AI’s directors and officers are located outside the United States. As a result, it may be difficult for you to effect service of process upon those persons inside mainland China. It may be difficult for you to enforce judgments obtained in U.S. courts based on civil liability provisions of the U.S. federal securities laws against Helport AI and its officers and directors who do not currently reside in the U.S. or have substantial assets in the U.S. In addition, there is uncertainty as to whether the courts of the British Virgin Islands or the PRC would recognize or enforce judgments of U.S. courts against Helport AI or such persons predicated upon the civil liability provisions of the securities laws of the U.S. or any state.</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recognition and enforcement of foreign judgments are provided for under the PRC Civil Procedures Law. PRC courts may recognize and enforce foreign judgments in accordance with the requirements of the PRC Civil Procedures Law based either on treaties between China and the country where the judgment is made or on principles of reciprocity between jurisdictions. China does not have any treaties or other forms of written arrangement with the United States that provide for the reciprocal recognition and enforcement of foreign judgments. In addition, according to the PRC Civil Procedures Law, the PRC courts will not enforce a foreign judgment against Helport AI or its directors and officers if they decide that the judgment violates the basic principles of PRC laws or national sovereignty, security, or public interest. As a result, it is uncertain whether and on what basis a PRC court would enforce a judgment rendered by a court in the United States.</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It may also be difficult for you or overseas regulators to conduct investigations or collect evidence within China. For example, in China, there are significant legal and other obstacles to obtaining information needed for shareholder investigations or litigation outside China or otherwise with respect to foreign entities. Although the authorities in China may establish a regulatory cooperation mechanism with counterparts of another country or region to monitor and oversee cross border securities activities, such regulatory cooperation with the securities regulatory authorities in the United States may not be efficient in the absence of a practical cooperation mechanism. Furthermore, according to Article 177 of the PRC Securities Law (“Article 177”), which became effective in March 2020, no overseas securities regulator is allowed to directly conduct investigations or evidence collection activities within the territory of the PRC. Article 177 further provides that Chinese entities and individuals are not allowed to provide documents or materials related to securities business activities to foreign agencies without prior consent from the securities regulatory authority of the State Council and the competent departments of the State Council. While detailed interpretation of or implementing rules under Article 177 have yet to be promulgated, the inability for an overseas securities regulator to directly conduct investigations or evidence collection activities within China may further increase difficulties faced by you in protecting your interests.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Recent greater oversight by the CAC over data security could adversely impact our business.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28, 2021, 13 governmental departments of the PRC, including the Cybersecurity Administration of China, or the CAC, jointly promulgated the Cybersecurity Review Measures, which became effective on February 15, 2022. The Cybersecurity Review Measures provide that net platform operators engaging in data processing activities that affect or may affect national security must be subject to cybersecurity review by the Cybersecurity Review Office of the PRC. On November 14, 2021, the CAC published the Draft Regulations on the Network Data Security Administration (Draft for Comments), which provides that data processing operators engaging in data processing activities that affect or may affect national security must be subject to cybersecurity review by the relevant Cyberspace Administration of the PRC.</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part of our global expansion strategy, we have engaged customers located in countries other than the PRC, which began generating revenue in the fiscal year 2024. However, for the fiscal years ended June 30, 2025 and 2024, substantially all of our revenue was still generated from customers located in the PRC, even though we have no operating entity in the PRC. Our products do not collect personal data from contact center activities, nor do we store any data from such activities. As of the date of this prospectus, neither Helport AI nor any subsidiaries thereof have received any notice from any authorities requiring Helport AI or any of its subsidiaries to undergo cybersecurity review or network data security review. However, since the use of our AI Assist software involves the collection of data and information contained in the contact center operations of our customers in the PRC, we may be subject to certain laws and regulations in China in the future. If any such new laws, regulations, rules, or implementation and interpretation come into effect, we expect to take all reasonable measures and actions to comply and to minimize the adverse effect of such laws on our operations. We cannot guarantee, however, that we will not be subject to cybersecurity review and network data security review in the future. During any such review, Helport may be required to suspend its operations or experience other disruptions to its operations. Cybersecurity review and network data security review could also result in negative publicity with respect to Helport AI, and diversion of its managerial and financial resources, which could materially and adversely affect its business, financial conditions, and results of operations.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Each of our customers and suppliers has entered into an Authorization for Payment Agreement with our Singapore and U.S. operating entity and a third- party agent. Our financial condition and liquidity position may be subject to credit risks of the third-party agent.</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Since we have not yet established relevant entities or subsidiaries in the PRC, and because a significant portion of our customers and suppliers are located in the PRC, each of our customers and suppliers has entered into an Authorization for Payment Agreement (collectively, the “Agreements”) with our operating entities, Helport Singapore and Helport US, and a third party agent, Xinsheng Technology (Tianjin) Co., Ltd. (“Xinsheng”), through whom we make payments to our suppliers and receive payments from our customers. The payment amount in each of the Agreements is denoted in U.S. dollars. For details, see “ITEM 4. Information of the Company—B. Business Overview—Major Supplier” and “ITEM 4. Information of the Company—B. Business Overview—Customers, Sales, and Marketing” in our 2025 Annual Report. As of the date of this prospectus, Xinsheng has fulfilled its obligations to transfer the payments guaranteed in each of the Agreements. However, there is no assurance that, in the future, we will be able to successfully enforce Xinsheng’s guarantee, or any other such payment agents’ guarantee. Third-party agents subject to such payment agreements are subject to their own unique operational and financial risks, which are beyond our control. In the event that such agents fail to function properly or breach or terminate their cooperation with us, we may be unable to recover payment from our customers or transfer payment to our suppliers in a timely manner, or at all. This could disrupt our cash flow and lead to a breakdown of our contractual relationship with customers and suppliers. If we are unable to address these issues in a timely and cost-effective manner, our business, financial condition, and results of operations may be adversely affected.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anticipate or successfully implement new technologies could render our contact-center solution services less competitive and reduce our revenue and market share.</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We provide data-driven AI technologies to our customers endeavoring to maximize the revenue-generation and customer-retention potential capacities of their contact centers. See “ITEM 4. Information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 Business Overview—Competitive Strengths” in our 2025 Annual Report. As of the date of this prospectus, we have two pending patent applications in Singapore. These applications are currently awaiting approval from the authorities. We have also designed and developed effective systems of Gateways to integrate our AI Assist software into contact centers. Nonetheless, the AI Contact Integrated Solutions Industry is characterized by rapid technological advancement, constant improvement of AI products’ learning capabilities and resultant heightening of customers’ expectations, disruption by innovative entrants, and evolving business models and industry standards. This requires us to anticipate well in advance, which technologies we must implement and take advantage of to make our AI products and services competitive in the market. As such, we need to continue to invest significant financial resources in research and development to keep pace with technological advances in order to make our technologies competitive in the market, especially those relating to the intelligence and analytic capability of our core AI product. However, development activities are inherently uncertain, and our expenditures on research and development may not generate commensurate benefits. Given the fast pace with which AI technology has been and will continue to be developed, we may not be able to timely upgrade our data analytics and AI-based technologies, or the algorithm or engines required thereby in an efficient and cost-effective manner, or at all. New technologies in our industry could render the technologies and services that we are developing or expect to develop in the future obsolete or uncompetitive, thereby potentially resulting in a decline in our revenues and market share.</w:t>
      </w:r>
    </w:p>
    <w:p>
      <w:pPr>
        <w:spacing w:after="0" w:line="19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in the highly competitive AI Contact Integrated Solutions Industry, and we may not be able to compete successfully against existing or new competitors, which could reduce our market share and adversely affect our competitive position and financial performance.</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contact-center AI technology industry worldwide is competitive and rapidly evolving, with new companies increasingly joining the competition in recent years. AI products and service models in the industry are constantly evolving to adopt new technologies, improve cost efficiency, and meet customers’ rising expectations for more intelligent products. We compete with a value proposition centered on increasing customers’ profitability, enhancing managerial efficiency, and reducing agent mistakes in customers’ contact centers. These metrics are often influenced by factors such as AI efficiency, system integration abilities and industry experience. As of the date of this prospectus, we believe that we are well-positioned to effectively compete in the AI contact-center solutions industry primarily due to (i) our AI technology; (ii) our professional knowledge base; (iii) our industry experience and client base; and (iv) our business model and product offerings. See “ITEM 4. Information of the Company—B. Business Overview— Competition” in our 2025 Annual Report. Nonetheless, as advancement in AI technology is often accompanied by revolutionary effects on its application, sudden and intensive competition can take place unexpectedly in the future. The increased competition may lead to increased costs for customer acquisition and retention, which may result in reduced margins and a loss of market share for us. We compete with other competitors on the following bases:</w:t>
      </w:r>
    </w:p>
    <w:p>
      <w:pPr>
        <w:spacing w:after="0" w:line="194"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and quality of our AI solutions;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industry knowledge and domain expertise;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capabilities;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model;</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services both in the initial system installment phase and the subsequent operation maintenance phase;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effectiveness of sales and marketing efforts;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retention of talented staff.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competitors may operate with different business models, have different service structures, and may be more successful or more adaptable to new regulatory, technological, and other developments. They may in the future achieve greater market acceptance and recognition and gain a greater market share. It is also possible that potential new competitors may emerge and acquire a significant market share. If existing or potential new competitors develop or offer services that provide significant performance, price, creative optimization, or other advantages over those offered by us, our business, results of operations, and financial condition could be negatively affected. Our existing and potential competitors may enjoy competitive advantages over us, such as greater brand recognition, larger customer base, and better value-added services. We may lose customers if we fail to compete successfully, which could adversely affect our financial performance and business prospects. We cannot guarantee that our strategies will remain competitive or successful in the future. Increasing competition may result in pricing pressure and loss of our market share, either of which could have a material adverse effect on our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may rely on a primary supplier or a few customers that each account for more than 10% of our total purchases. Interruptions in operations in such major clients or supplier may have an adverse effect on our business, financial condition, and results of operations.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a few customers that each account for more than 10% of our total sales, who are all contact-center BPO companies for whom we provide our AI Assist product. For the fiscal year ended June 30, 2025, we had three significant customers, namely Beijing Baojiang Science and Technology Co., Ltd. (“Baojiang”), Shenyang Pengbosheng Network Technology Co., Ltd. (“Pengbosheng”), and Shenyang Blue Legend Information Technology Co., Ltd. (“Blue Legend”), which accounted for 27.5%, 25.8% and 16.2% of our total sales, respectively. For the fiscal year ended June 30, 2024, we had two significant customers, Baojiang and Pengbosheng, which accounted for 26.9% and 37.5% of our total sales, respectively. For the fiscal year ended June 30, 2023, we had two significant customers, Baojiang and Pengbosheng, which accounted for 28.4% and 46.3% of our total sales, respectively. No other customers accounted for more than 10% of our total sales during the fiscal years ended June 30, 2025, 2024, and 2023.</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an example of a typical transaction, in accordance with a System Information Technology Service Agreement dated February 1, 2022 between Baojiang and Helport Singapore, our Singapore operating entity, Helport Singapore is required to provide to Baojiang system functional modules for contact centers, as well as custom development and efficiency management services that accompany the modules. For details, see “ITEM 4. Information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 Business Overview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The Business Model” in our 2025 Annual Report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final and billable service fees will be invoiced to Baojiang every month, and the invoiced amount shall be confirmed by Baojiang within three business days.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rely on Youfei Shuke as our provider of AI infrastructure and developer partner, who has been our primary technology supplier for the fiscal years ended June 30, 2025, 2024, and 2023. Our partnership typically involves co-modeling and co-developing efforts based on our designs of the AI product and its expected application, and Youfei Shuke’s provision of AI infrastructure. In the fiscal year ended June 30, 2025, there were 29 service agreements between Youfei Shuke and Helport Singapore, all of which relate to the development of AI-driven products designed to enhance our existing products and systems.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Since Youfei Shuke is our primary supplier, our engagement with it may expose us to risks beyond our control. There is the risk that Youfei Shuke may breach or terminate its contracts with us or experience significant disruptions to its operations, causing our contractual relationship to end with little or no prior notice. Since we retain significant control over the development process and the core technology involved, disruptions to our business operations and development efforts in such circumstances would be limited to some extent. However, the heavy involvement of Youfei Shuke in our research and development (“R&amp;D”) projects as our developer partner, including the technical staff it they provides, means that in the event Youfei Shuke disengages from us, we would need to find other technology suppliers as a substitute. If we cannot immediately engage alternative suppliers capable of providing and substituting all of Youfei Shuke’s functions after its potential disengagement, the process of our product development efforts could be delayed, disrupted, or even discontinued. This could render us less competitive and potentially reduce our market share and revenue. As a result, we are actively communicating with other capable suppliers with a view to diversifying our supply source.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4" w:name="page15"/>
    <w:bookmarkEnd w:id="1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view of the above, there is no guarantee that we will not have a concentration of customers or suppliers in the future. Such customers and third-party suppliers are independent entities with their own operational and financial risks that are beyond our control. If any of these customers or suppliers breach or terminate their contracts with us, or experience significant disruptions to their operations, we will be required to find and enter into contracts with one or more customers or suppliers as replacement. It could be costly and time-consuming to find alternative customers and suppliers, and these customers or suppliers may not be available to us at reasonable terms or at all. As a result, this could harm our business and financial results and result in lost or deferred revenue.</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generates and processes a large amount of data, and it is required to comply with laws and regulations in multiple jurisdictions relating to data privacy and security. The improper use or disclosure of data could have a material and adverse effect on our business and prospects.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As a product for assisting contact-center agents, AI Assist only collects data from the contact center operating agents but does not collect any data from consumers who engage with the agents. Typically, the product collects data on agents’ operational activities, such as the actions they take and the length and frequency of call, and agents’ basic information, such as their name and contacts. These are common data collected for the type of business we are engaged in. Because AI Assist is installed on our customers’ own cloud database, the data collected by our product is stored on our customers’ cloud database. Our access to customers’ systems is limited, and we have no access to any of their operational data and confidential information. As a result, we do not store any customer or agent data. Data of contact center conversations is transmitted directly to providers of Automatic Speech Recognition technology such as AWS. Our technical staff in charge of assisting customers to build our AI technology into their system only operate on the premises of the customers and on their computer systems. For details, see “ITEM 4. Information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 Business Overview—Data Privacy and Security” in our 2025 Annual Report.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December 28, 2021, 13 governmental departments of the PRC, including the Cybersecurity Administration of China, or the CAC, jointly promulgated the Cybersecurity Review Measures, which became effective on February 15, 2022. The Cybersecurity Review Measures provide that net platform operators engaging in data processing activities that affect or may affect national security must be subject to cybersecurity review by the Cybersecurity Review Office of the PRC. On November 14, 2021, the CAC published the Draft Regulations on the Network Data Security Administration (Draft for Comments), which provides that data processing operators engaging in data processing activities that affect or may affect national security must be subject to cybersecurity review by the relevant Cyberspace Administration of the PRC.</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have no operating entity in the PRC, currently substantially all of our revenue is generated from customers located in the PRC. Our products do not collect personal data from contact center activities, nor do we store any data from such activities. As of the date of this prospectus, neither Helport AI nor has any subsidiaries thereof received any notice from any authorities requiring Helport AI or any of its subsidiaries to undergo any cybersecurity review or network data security review. However, since the use of our AI Assist software involves the collection of data and information contained in contact center operations of our customers in the PRC, we may be subject us to certain laws and regulations in China in the future. If any such new laws, regulations, rules, or implementation and interpretations come into effect that may impact Helport AI or any of its subsidiaries, we expect to take all reasonable measures and actions to comply and to minimize the adverse effect of such laws. We cannot guarantee, however, that such entities will not be subject to cybersecurity review and network data security review in the future. During such reviews, Helport Singapore may be required to suspend its operations or experience other disruptions to its operations. Cybersecurity review and network data security review could also result in negative publicity with respect to Helport AI and diversion of its managerial and financial resources, which could materially and adversely affect its business, financial conditions, and results of operations.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 result of our plans for global expansion of our operations, we may be subject to a variety of laws and regulations in various jurisdictions where we operate, as well as contractual obligations, regarding data privacy, protection, and security. Some of these laws and regulations require obtaining data subjects’ consent to the collection and use of their data, honoring data subjects’ requests to delete their data or limit the processing of their data, providing notifications in the event of a data breach, and setting up the proper legal mechanisms for cross-border data transfers. Some downstream customers may refuse to provide consent to have the data of their contact-center agents collected or may restrict the use of such data. In many cases, these laws and regulations apply not only to the collection and processing of agent data from third-party downstream customers with whom we may not have any contractual relationship, but also to the sharing or transfer of information between or among us, our subsidiaries, and other third parties with which we have commercial relationships, such as our business partners and contact-center BPO customers. The regulatory framework for data privacy, protection, and security worldwide is continuously evolving and developing and, as a result, interpretation and implementation standards and enforcement practices are likely to remain uncertain for the foreseeable future.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5" w:name="page16"/>
    <w:bookmarkEnd w:id="1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legislative and regulatory landscape for data privacy and security continues to evolve in jurisdictions worldwide, with an increasing focus on privacy and data protection issues with the potential to affect our business. In the United States, such privacy and data security laws and regulations include federal laws and regulations such as the federal Controlling the Assault of Non-Solicited Pornography and Marketing Act (“CANPAM Act”), the Telephone Consumer Protection Act, the Do-Not-Call Implementation Act, and rules and regulations promulgated under the authority of the Federal Trade Commission and state laws like the California Consumer Privacy Act (“CCPA”) and the varying data breach notification laws that have been enacted in all 50 U.S. states and the District of Columbia. Further, there currently are a number of additional proposals related to data privacy or security pending before federal, state, and foreign legislative and regulatory bodies, including in a number of U.S. states considering consumer protection laws similar to the CCPA. For example, in March 2021, Virginia enacted the Virginia Consumer Data Protection Act, and in June 2021, Colorado passed the Colorado Privacy Act, both of which are comprehensive privacy statutes that share similarities with the CCPA and CPRA and became effective on January 1, 2023 and July 1, 2023, respectively. Such legislation may add complexity, variation in requirements, restrictions, and potential legal risk, require additional investment in resources to compliance programs, may also impact strategies and availability of previously useful data, and could result in increased compliance costs and/or changes in business practices and policies.</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Efforts to comply with these and other data privacy and security restrictions that may be enacted could require us to modify our data processing practices and policies and increase the cost of our operations. Failure to comply with such restrictions could subject us to criminal and civil sanctions and other penalties. In part due to the uncertainty of the legal climate, complying with regulations, and any applicable rules or guidance from regulatory authorities or self-regulatory organizations relating to privacy, data protection, information security, and consumer protection, may result in substantial costs and may necessitate changes to our business practices, which may compromise our growth strategy, adversely affect our ability to attract or retain customers, and otherwise adversely affect our business, reputation, legal exposure, financial condition and results of operations.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Any failure or perceived failure by us to comply with our standard privacy policies, our privacy-related obligations to customers or other third parties, or any other legal obligations or regulatory requirements relating to privacy, data protection, or information security may result in governmental investigations or enforcement actions, litigation, claims (including class actions), or public statements against us by consumer advocacy groups or others and could result in significant liability, cause our customers to lose trust in us, and otherwise materially and adversely affect our reputation and business. Furthermore, the costs of compliance with, and other burdens imposed by, the laws, regulations, and policies that are applicable to us may limit the adoption and use of, and reduce the overall demand for, our products. Additionally, if third parties we work with, such as our service providers or product developer partners, violate applicable laws, regulations, or agreements, such violations may put our users’ and/or employees’ data at risk, could result in governmental investigations or enforcement actions, fines, litigation, claims (including class action claims) or public statements against us by consumer advocacy groups or others and could result in significant liability, cause our customers to lose trust in us and otherwise materially and adversely affect our reputation and business. Further, public scrutiny of, or complaints about, technology companies or their data handling or data protection practices, even if unrelated to our business, industry, or operations, may lead to increased scrutiny of technology companies, including us, and may cause government agencies to enact additional regulatory requirements, or to modify their enforcement or investigation activities, which may increase our costs and risks.</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addition, in some cases, we are dependent upon our cloud computing platform providers, such as AWS, Google Could Platform and Microsoft Azure to solicit, collect, and provide us with information regarding our products that is necessary for compliance with these various types of regulations. Our business, including our ability to operate and expand internationally, could be adversely affected if laws or regulations are adopted, interpreted, or implemented in a manner that is inconsistent with our current business practices and that requires changes to these practices, the design of our products, features or our privacy policy. These platform providers may dictate rules, conduct, or technical features that do not properly comply with federal, state, local, and foreign laws, regulations, and regulatory codes and guidelines governing data privacy, data protection, and security, including with respect to the collection, storage, use, processing, transmission, sharing, and protection of personal information and other consumer data. In addition, these platforms may dictate rules, conduct, or technical features relating to the collection, storage, use, transmission, sharing, and protection of personal information and other customer data, which may result in substantial costs and may necessitate changes to our business practices, which in turn may compromise our growth strategy, adversely affect our ability to attract, monetize or retain customers, and otherwise adversely affect our business, reputation, legal exposures, financial condition and results of operations. Any failure or perceived failure by us to comply with these platform-dictated rules, conduct, or technical features may result in platform-led investigations or enforcement actions, litigation, or public statements against us, which in turn could result in significant liability or temporary or permanent suspension of our business activities with these platforms, cause our customers to lose trust in us, and otherwise compromise our growth strategy, adversely affect our ability to attract, monetize or retain customers, and otherwise adversely affect our business, reputation, legal exposures, financial condition and results of operations.</w:t>
      </w:r>
    </w:p>
    <w:p>
      <w:pPr>
        <w:spacing w:after="0" w:line="19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Customers we engaged are subject to our privacy policy and terms of service. If we fail to comply with our privacy policy or terms of service in service agreements, or if we fail to comply with existing privacy-related or data protection laws and regulations, it could result in complaints by data subjects or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 in fines or judgments against us, damage our reputation, and negatively impact our financial condition and damage our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sustain cyber-attacks or other privacy or data security incidents that result in security breaches, we could be subject to increased costs, liabilities, reputational harm, or other negative consequences.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information technology systems and platforms may be subject to cyber-attacks, viruses, malicious software, break-ins, theft, computer hacking, phishing, employee error or malfeasance, or other security breaches. Hackers and data thieves are increasingly sophisticated and operate large-scale and complex automatic hacks. Experienced computer programmers and hackers may be able to penetrate our security controls and misappropriate or compromise sensitive proprietary or confidential information, create system disruptions, or cause shutdowns. They also may be able to develop and deploy malicious software programs that attack our systems or otherwise exploit any security vulnerabilities. Our systems and the data stored on those systems also may be vulnerable to security incidents or security attacks, acts of vandalism or theft, coordinated attacks by activist entities, misplaced or lost data, human errors, or other similar events that could negatively affect our systems and the data stored on or transmitted by those systems, including the user data of our products.</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Although we have taken measures to protect sensitive data from unauthorized access, use, or disclosure, our protective measures may not be effective and our information technology may still be vulnerable to attacks. In the event of such attacks, the costs to eliminate or address the foregoing security threats and vulnerability before or after a cyber-incident could potentially be significant. our remediation efforts may not be successful and could result in interruptions or delays of services. As threats related to cyber-attacks develop and grow, we may also find it necessary to take further steps to protect our data and infrastructure, which could be costly and therefore impact our results of operations. In the event that we are unable to prevent, detect, and remediate the foregoing security threats and vulnerabilities in a timely manner, our operations could be interrupted or we could incur financial, legal, or reputational losses arising from misappropriation, misuse, leakage, falsification, or intentional or accidental release or loss of information maintained in our systems. The number and complexity of these threats continue to increase over time. Although we have not experienced any cyber-attacks or other privacy or data security incidents As of the date of this prospectus, and we inspect our systems on a regular basis to prevent these events from occurring, the possibility of these events occurring cannot be eliminated entirely.</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Unauthorized use of our intellectual property by third parties and expenses incurred in protecting our intellectual property rights may adversely affect our business, reputation, and competitive edge.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we own one domain name, Helport.ai, and have registered four patents in the PRC. As of the date of this prospectus, we have two pending patent applications in Singapore, for which are currently awaiting approval from the authorities. We regard our intellectual property as important to our success, and we rely on a combination of intellectual property laws and contractual arrangements, including confidentiality and non-disclosure agreements, to protect our proprietary rights. For details, please see “ITEM 4. Information of the Company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B. Business Overview—Intellectual Property” in our 2025 Annual Report.</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Despite these measures, any of our intellectual property rights could be challenged, invalidated, circumvented, or misappropriated, or such intellectual property may not be sufficient to provide us with competitive advantages. Since our customers are currently mainly located in the PRC, we have also initiated the process of applying for patents in the PRC to protect our technological achievements. As of the date of this prospectus, we have applied for four patents in China, all of which have been granted. However, maintaining and enforcing intellectual property rights may be difficult in the PRC. Statutory laws and regulations are subject to judicial interpretation and enforcement and may not be applied consistently. Confidentiality, invention assignment, and non-compete agreements may be breached by counterparties, and there may not be adequate remedies available to us for any such breach. In addition, we may face challenges when defending our intellectual property rights outside Singapore and the PRC. We plan to expand our businesses to other markets across the globe, including, but not limited to, North America and Southeast Asia, and the process for applying for and registering intellectual property rights varies within each jurisdiction. We may not be able to timely protect our intellectual property rights in these jurisdictions if the expansion of our operations and ensuing intellectual property right infringements take place before we have managed to register our intellectual property rights. Accordingly, we may not be able to effectively protect our intellectual property rights or to enforce our contractual rights in all jurisdictions.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Policing unauthorized use of our proprietary technology and other intellectual property is difficult and expensive, and litigation may be necessary in the future to enforce such intellectual property rights. Future litigation could result in substantial costs and diversion of our resources and could disrupt our business, as well as materially adversely affect our financial condition and results of operations. Further, despite the potentially substantial costs, we cannot assure you that we will prevail in such litigation.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attract, recruit, or retain our key personnel, including our executive officers, senior management, and key employees, our ongoing operations and growth could be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success also depends, to a large extent, on the efforts of our key personnel, including Shuangchi He, a Doctor of Telecommunications Engineering and Operations Research and a key member of Helport Singapore’s Research and Development team, our other executive officers, senior management, and other key employees who have valuable experience, knowledge, and connection in the AI Contact Integrated Solutions Industry. There is no assurance that these key personnel will not voluntarily terminate their employment with us. We do not carry, and do not intend to procure, key person insurance on any of our senior management team. The loss of any of our key personnel could be detrimental to our ongoing operations. Our success will also depend on our ability to attract and retain qualified personnel to manage our existing operations as well as our future growth. We may not be able to successfully attract, recruit, or retain key personnel, and this could adversely impact our financial condition, operating results, and business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Securities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Sales of a substantial number of our securities in the public market by our existing shareholders could cause the price of the Ordinary Shares and Warrants to fall, and certain Selling Shareholders may earn a positive rate of return on their investment, even if certain other shareholders experience a negative rate of return.</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substantial amounts of the Ordinary Shares and/or Warrants in the public market or the perception that these sales could occur, could adversely affect the market price of the Ordinary Shares and Warrants and could materially impair our ability to raise capital through equity offerings in the future.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relates to, among other things, the issuance from time to time by us of up to $100,000,000 in the aggregate of Ordinary Shares, preferred shares, warrants to purchase Ordinary Shares or preferred shares, debt securities, rights or any combination of the foregoing, either individually or as units comprised of one or more of the other securities.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prospectus also relates to the resale from time to time by the Selling Shareholders of 215,942 Ordinary Shares of Helport AI Limited. The Resale Shares were issued pursuant to the SPAs.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prospectus, we have (1) 37,646,910 Ordinary Shares and (2) 18,844,987 Warrants, issued and outstanding.</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Selling Shareholders can sell, under this prospectus, up to 215,942 Ordinary Shares, constituting approximately 0.57% of the issued and outstanding Ordinary Shares as of the date of this prospectus.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Ordinary Shares in the public market by the Selling Shareholders and/or by our other existing shareholders, or the perception that those sales might occur, could result in a significant decline in the public trading price of the Ordinary Shares and could impair our ability to raise capital through the sale of additional equity securities. Because the prices at which certain Selling Shareholders acquired the securities that they may sell pursuant to this prospectus may be lower than that of our public shareholders, certain Selling Shareholders may still experience a positive rate of return on the securities that they sell pursuant to this prospectus, and be incentivized to sell such shares, when our public shareholders may not experience a similar rate of return. In such event, such Selling Shareholders may have an incentive to sell their securities even if the trading price is lower than the price at which our public shareholders purchased their securities. The trading price of the Ordinary Shares have fluctuated since the closing of the Business Combination on August 2, 2024, and may continue to fluctuate. As a result, our public shareholders may not be able to achieve any positive return at all on the Ordinary Shares if they sell the Ordinary Shares in the market at the then-prevailing market prices.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Nasdaq has proposed a new $5 million minimum market value continued listing requirement that, if approved, could result in immediate suspension and delisting of our Ordinary Shares without any cure period or opportunity to regain compliance.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January 13, 2026, Nasdaq proposed new listing rules requiring companies on the Nasdaq Global and Capital Markets to maintain a minimum Market Value of Listed Securities of at least $5 million. Under this proposal, if our market value falls below $5 million for 30 consecutive business days, our Ordinary Shares would be immediately suspended from trading and delisted from Nasdaq, with no cure period, no compliance period, and no stay of suspension during any appeal.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proposed rule represents a fundamental departure from Nasdaq’s traditional approach to listing deficiencies. Unlike other continued listing requirements that provide companies with 180 days or more to regain compliance, the proposed market value requirement would result in immediate and irreversible consequences. While we could request a hearing before a Nasdaq Listing Qualifications Hearings Panel to appeal a delisting determination, such a request would not prevent the immediate suspension of our Ordinary Shares from trading. Furthermore, the Hearings Panel would have extremely limited discretion and could only reverse the delisting decision if it determines that the initial determination was in error, and the Panel could not consider evidence that we had subsequently regained compliance or grant us additional time to do so.</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Nasdaq’s proposal reflects its belief that once a company’s market value falls below $5 million, the challenges facing that company are generally not temporary and are so severe that the company is unlikely to regain and sustain compliance for the long term. Nasdaq further believes it is difficult to maintain fair and orderly markets for such low-value companies. The SEC must decide on the proposal within 45 days of publication in the Federal Register, unless it extends the review period, creating uncertainty regarding whether and when this rule may become effective.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market value is calculated as our consolidated closing bid price multiplied by our total Listed Securities. Factors that could cause our market value to fall below the proposed threshold include continued stock price decline, lack of investor interest, adverse market conditions, negative developments in our business operations, dilutive financing transactions, or broader market volatility affecting microcap companies.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proposal is part of a broader trend of Nasdaq tightening listing standards for smaller issuers, including recent rules granting Nasdaq discretion to deny initial listings based on susceptibility to manipulative trading and other market value-based requirements. This increasingly stringent regulatory environment creates greater challenges for microcap companies such as us to maintain public listings.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If the proposed $5 million market value continued listing requirement is approved and we subsequently fail to maintain the required market value for 30 consecutive business days, our Ordinary Shares would be immediately suspended from trading and delisted from Nasdaq without any opportunity to cure the deficiency. Such suspension and delisting would have severe adverse consequences for our business, our ability to raise capital, and the liquidity and value of our shareholders’ investments. Moreover, even if we remain in compliance with quantitative criteria, Nasdaq retains discretionary authority under Rule IM-5101-1 to suspend or terminate a company’s listing if necessary to protect investors or ensure the orderly operation of the market, which could result in similar adverse consequences even absent a failure to meet specific quantitative thresholds.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we are a small company, the requirements of being a public company, including compliance with the reporting requirements of the Securities Exchange Act of 1934, as amended (the “Exchange Act”), and certain requirements of the Sarbanes-Oxley Act of 2022 (the “Sarbanes-Oxley Act”) and the Dodd-Frank Wall Street Reform and Consumer Protection Act (the “Dodd-Frank Act”), may strain our resources, increase our costs and distract management, and we may be unable to comply with these requirements in a timely or cost-effective manner.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a public company with listed equity securities, we must comply with the federal securities laws, rules and regulations, including certain corporate governance provisions of the Sarbanes-Oxley Act and the Dodd-Frank Act, related rules and regulations of the SEC and the Nasdaq, with which a private company is not required to comply. Complying with these laws, rules and regulations occupies a significant amount of the time of our board of directors and management and significantly increases our costs and expenses. Among other things, we must:</w:t>
      </w:r>
    </w:p>
    <w:p>
      <w:pPr>
        <w:spacing w:after="0" w:line="180" w:lineRule="exact"/>
        <w:rPr>
          <w:sz w:val="20"/>
          <w:szCs w:val="20"/>
          <w:color w:val="auto"/>
        </w:rPr>
      </w:pPr>
    </w:p>
    <w:p>
      <w:pPr>
        <w:ind w:left="980" w:right="2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 system of internal control over financial reporting in compliance with the requirements of Section 404 of the Sarbanes-Oxley Act and the related rules and regulations of the SEC;</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rules and regulations promulgated by the Nasdaq;</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in compliance with our obligations under the federal securities laws;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various internal compliance and disclosures policies, such as those relating to disclosure controls and procedures and insider trading in our Ordinary Shares;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above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Ordinary Shares, whether by us or our shareholders, could cause our share price to decline.</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If our existing shareholders sell, or indicate an intent to sell, substantial amounts of our Ordinary Shares in the public market, the trading price of our Ordinary Shares could decline significantly. Similarly, the perception in the public market that our shareholders might sell of our Ordinary Shares could also depress the market price of our Ordinary Shares. A decline in the price of our Ordinary Shares might impede our ability to raise capital through the issuance of additional of our Ordinary Shares or other equity securities. In addition, the issuance and sale by us of additional of our Ordinary Shares or securities convertible into or exercisable for our Ordinary Shares, or the perception that we will issue such securities, could reduce the trading price for our Ordinary Shares as well as make future sales of equity securities by us less attractive or not feasible. The sale of Ordinary Shares issued upon the exercise of our outstanding options and Warrants could further dilute the holdings of our then existing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analysts may not cover our Ordinary Shares and this may have a negative impact on the market price of our Ordinary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trading market for our Ordinary Shares will depend, in part, on the research and reports that securities or industry analysts publish about us or our business. We do not have any control over independent analysts (provided that we have engaged various non-independent analysts). We do not currently have and may never obtain research coverage by independent securities and industry analysts. If no independent securities or industry analysts commence coverage of us, the trading price for our Ordinary Shares would be negatively impacted. If we obtain independent securities or industry analyst coverage and if one or more of the analysts who covers us downgrades our Ordinary Shares, changes their opinion of our shares or publishes inaccurate or unfavorable research about our business, our share price would likely decline. If one or more of these analysts ceases coverage of us or fails to publish reports on us regularly, demand for our Ordinary Shares could decrease and we could lose visibility in the financial markets, which could cause our share price and trading volume to decline.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future dilution as a result of future equity offerings or other equity issuances.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issue additional of our Ordinary Shares or other securities convertible into or exchangeable for of our Ordinary Shares. We cannot assure you that we will be able to sell of our Ordinary Shares or other securities in any other offering or other transactions at a price per share that is equal to or greater than the price per share paid by investors in this offering. The price per share at which we sell additional of our Ordinary Shares or other securities convertible into or exchangeable for our Ordinary Shares in future transactions may be higher or lower than the price per share in this offering.</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0" w:name="page21"/>
    <w:bookmarkEnd w:id="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the continued listing requirements of Nasdaq, we would face possible delisting, which would result in a limited public market for our shares and make obtaining future debt or equity financing more difficult for us.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Company fails to maintain compliance with other listing rules in the future, we could be subject to suspension and delisting proceedings. If our securities lose their status on the Nasdaq Capital Market, our securities would likely trade in the over-the-counter market. If our securities were to trade on the over-the-counter market, selling our securities could be more difficult because smaller quantities of securities would likely be bought and sold, transactions could be delayed, and security analysts’ coverage of us may be reduced. In addition, in the event our securities are delisted, broker-dealers have certain regulatory burdens imposed upon them, which may discourage broker-dealers from effecting transactions in our securities, further limiting the liquidity of our securities. These factors could result in lower prices and larger spreads in the bid and ask prices for our securities. Such delisting from the Nasdaq Capital Market and continued or further declines in our share price could also greatly impair our ability to raise additional necessary capital through equity or debt financing, and could significantly increase the ownership dilution to shareholders caused by our issuing equity in financing or other transactions.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Techniques employed by short sellers may drive down the market price of our Ordinary Shares.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relevant issuer and its business prospects in order to create negative market momentum and generate profits for themselves after selling a security short. These short attacks have, in the past, led to selling of shares in the market.</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Public companies listed in the United States that have a substantial majority of their operations in China have been the subject of short selling. Much of the scrutiny and negative publicity has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may in the future be, the subject of unfavorable allegations made by short sellers. Any such allegations may be followed by periods of instability in the market price of our Ordinary Shares and negative publicity. If and when we become the subject of any unfavorable allegations, whether such allegations are proven to be true or untrue, we could have to expend a significant amount of resources to investigate such allegations and/or defend ourselves. While we would strongly defend against any such short seller attacks, we may be constrained in the manner in which we can proceed against the relevant short seller by principles of freedom of speech, applicable federal or state law or issues of commercial confidentiality.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securities could be greatly reduced or rendered worthless.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sale of the securities we offer as indicated in the applicable prospectus supplement, information incorporated by reference, or free writing prospectus.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will not receive any proceeds from the sale of any of the Resale Shares by the Selling Shareholders described herein and identified in the supplements to this prospectus. The Selling Shareholders will pay any underwriting discounts and commissions and expenses incurred by the Selling Shareholders for brokerage or legal services or any other expenses incurred by the Selling Shareholders in disposing of the Resale Shares offered hereby. We will bear all other costs, fees and expenses incurred in effecting the registration of the securities covered by this prospectus, including all registration and filing fees and fees and expenses of our counsel and accountants.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the Selling Shareholders who offer and sell Resale Shares covered by this prospectus may do so at various times, at prices and at terms then prevailing or at prices related to the then current market rate, or in negotiated terms, we have not included in this prospectus information about the dilution (if any) to the public arising from these sales.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required, we will set forth in a prospectus supplement the following information regarding any material dilution of the equity interests of investors purchasing securities in an offering under this prospectus:</w:t>
      </w:r>
    </w:p>
    <w:p>
      <w:pPr>
        <w:spacing w:after="0" w:line="162"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tangible book value per share of our equity securities before and after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increase in such net tangible book value per share attributable to the cash payments made by purchasers in the offering;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immediate dilution from the public offering price which will be absorbed by such purchasers.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THE SECURITIES WE MAY OFFER</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may offer, from time to time, our Ordinary Shares, preferred shares, debt securities, warrants to purchase Ordinary Shares, rights to purchase Ordinary Shares or a combination of these securities, or units consisting of a combination of any or all of these securities, in amounts we will determine from time to time, under this prospectus at prices and on terms to be determined by market conditions at the time of offering. While the terms we have summarized below will apply generally to any future Ordinary Shares, preferred shares, debt securities, warrants to purchase Ordinary Shares, rights to purchase any of the foregoing or a combination of these securities, or units consisting of a combination of any or all of these securities that we may offer, we will describe the particular terms of any class or series of these securities in more detail in the applicable prospectus supplement. For the complete terms of our Ordinary Shares and preferred shares, please refer to our Amended and Restated Memorandum and Articles of Association (“Amended and Restated Memorandum and Articles”), that is incorporated by reference into the registration statement of which this prospectus is a part or may be incorporated by reference in this prospectus or any applicable prospectus supplement. The terms of these securities may also be affected by British Virgin Islands law. The summary below and that contained in any applicable prospectus supplement or any related free writing prospectus are qualified in their entirety by reference to our Amended and Restated Memorandum and Articles, as in effect at the time of any offering of securities under this prospectus. For information on how to obtain copies of our Amended and Restated Memorandum and Articles, see “Where You Can Find More Information.”</w:t>
      </w:r>
    </w:p>
    <w:p>
      <w:pPr>
        <w:spacing w:after="0" w:line="19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directly or through agents, dealers or underwriters designated from time to time, may offer, issue and sell, together or separately, up to $100,000,000 in the aggregate of:</w:t>
      </w:r>
    </w:p>
    <w:p>
      <w:pPr>
        <w:spacing w:after="0" w:line="162"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shares;</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to purchase our securities; or</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the debt securities as exchangeable for or convertible into Ordinary Shares, preferred shares or other securities. The preferred shares may also be exchangeable for and/or convertible into Ordinary Shares, another series of preferred shares or other securities. The debt securities, the preferred shares, the Ordinary Shares and the warrants are collectively referred to in this prospectus as the “securities.” When a particular series of securities is offered, a supplement to this prospectus will be delivered with this prospectus, which will set forth the terms of the offering and sale of the offered securities.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description of our Ordinary Shares, together with any additional information we include in any applicable prospectus supplement or any related free writing prospectus, summarizes the material terms and provisions of our Ordinary Shares and the preferred shares that we may offer under this prospectus. While the terms we have summarized below will apply generally to any future Ordinary Shares or preferred shares that we may offer, we will describe the particular terms of any class or series of these securities in more detail in the applicable prospectus supplement. For the complete terms of our Ordinary Shares and preferred shares, please refer to our Amended and Restated Memorandum and Articles that is incorporated by reference into the registration statement of which this prospectus is a part or may be incorporated by reference in this prospectus or any applicable prospectus supplement. The terms of these securities may also be affected by British Virgin Islands law. The summary below and that contained in any applicable prospectus supplement or any related free writing prospectus are qualified in their entirety by reference to our Amended and Restated Memorandum and Articles, as in effect at the time of any offering of securities under this prospectus. For information on how to obtain copies of our Amended and Restated Memorandum and Articles, see “Where You Can Find More Information.”</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authorized to issue a maximum of 500,000,000 Ordinary Shares, par value $0.0001 each. 37,646,910 Ordinary Shares of the Company are issued and outstanding as of the date of this prospectus. Each Ordinary Share has the right to one vote at a meeting of shareholders or on any resolution of shareholders, the right to an equal share in any dividend paid by us, and the right to an equal share in the distribution of surplus assets on our liquidation. We may by a resolution of the board of directors redeem our shares for such consideration as the board of directors determines.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any time, our authorized number of shares is divided into different classes of shares, the rights attached to any class (unless otherwise provided by the terms of issue of the shares of that class) may, whether or not we are being wound-up, be varied with the resolution of members of that class entitled to vote thereon the approval of which requires the affirmative vote of a majority of the members of that class present at the meeting who voted.</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No less than fifteen calendar days’ written notice of a meeting shall be given to each shareholder entitled to attend and vote thereat, stating the date, place, and time at which the meeting is to be held, and if different, the record date for determining shareholders entitled to attend and vote at the meeting, and the general nature of the business to be conducted at the meeting. A meeting shall, notwithstanding the fact that it is called on shorter notice than otherwise required, be deemed to have been properly called if it is attended, or such notice is waived, by 90% of the shareholders entitled to attend and vote thereat, or all members holding shares entitled to vote on all or any matters to be considered at the meeting, have waived notice of the meeting. The inadvertent failure to give notice of a meeting to, or the non-receipt of a notice of a meeting by, any person entitled to receive notice shall not invalidate the proceedings at that meeting.</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are no limitations on the rights to own our securities, or limitations on the rights of non-resident or foreign shareholders to hold or exercise voting rights on our securities, contained in our Amended and Restated Memorandum and Articles (or under British Virgin Islands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Preferred Shares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As all our current authorized shares are designated as Ordinary Shares, a resolution of board of directors (the “Board”) or shareholders resolution will be needed to amend the Company’s Amended and Restated Memorandum and Articles to alter its authorized number of shares if the Company decides to issue preferred shares and following such amendment to the Company’s Amended and Restated Memorandum and Articles, a copy must be filed with the Registrar of Corporate Affairs of the British Virgin Islands. After such resolution and amendment to the Company’s Amended and Restated Memorandum and Articles in accordance with and following filing of the amended and restated memorandum and articles of association with the Registrar of Corporate Affairs of the British Virgin Islands, the Board is empowered to allot and/or issue (with or without rights of renunciation), grant options over, offer or otherwise deal with or dispose of any unissued shares of the Company (whether forming part of the original or any increased number of shares), either at a premium or at par, with or without preferred, deferred or other special rights or restrictions, whether in regard to dividend, voting, return of capital or otherwise and to such persons, on such terms and conditions, and at such times as the Board may decide and they may allot or otherwise dispose of them to such persons (including any director of the Board) on such terms and conditions and at such time as the Board may determine.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4" w:name="page25"/>
    <w:bookmarkEnd w:id="24"/>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You should refer to the prospectus supplement relating to the series of preferred shares being offered for the specific terms of that series, including:</w:t>
      </w:r>
    </w:p>
    <w:p>
      <w:pPr>
        <w:spacing w:after="0" w:line="162"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the series and the number of shares in the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preferred shares will be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rate or rates or method of calculating the rates, the dates on which the dividends will be payable, whether or not dividends will be cumulative or noncumulative and, if cumulative, the dates from which dividends on the preferred shares being offered will cumulate;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preferred shares being offered;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for a sinking fund, if any, and the provisions for redemption, if applicable, of the preferred shares being offered, including any restrictions on the foregoing as a result of arrearage in the payment of dividends or sinking fund installments;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liquidation preference per share;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being offered will be convertible into our Ordinary Shares, including the conversion price, or the manner of calculating the conversion price, and the conversion period;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applicable, upon which the preferred shares being offered will be exchangeable for debt securities, including the exchange price, or the manner of calculating the exchange price, and the exchange period;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listing of the preferred shares being offered on any securities exchange;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any material federal income tax considerations applicable to the preferred shares being offered;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preemptive rights;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ranking and preferences of the preferred shares being offered as to dividend rights and rights upon liquidation, dissolution or the winding up of our affairs;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on the issuance of any class or series of preferred shares ranking senior or equal to the series of preferred shares being offered as to dividend rights and rights upon liquidation, dissolution or the winding up of our affairs;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rights, preferences, qualifications, limitations and restrictions of the series.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Upon issuance, the preferred shares will be fully paid and non-assessable, which means that its holders will have paid their purchase price in full and we may not require them to pay additional funds.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preferred share terms selected by the Board could decrease the amount of earnings and assets available for distribution to holders of our Ordinary Shares or adversely affect the rights and power, including voting rights, of the holders of our Ordinary Shares without any further vote or action by the shareholders. The rights of holders of our Ordinary Shares may be subject to, and may be adversely affected by, the rights of the holders of any preferred shares that may be issued by us in the future. The issuance of preferred shares could also have the effect of delaying or preventing a change in control of our company or make removal of management more difficult.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Ordinary Shares or preferred shares. Warrants may be offered independently or together with Ordinary Shares or preferred shares offered by any prospectus supplement and may be attached to or separate from those securities. While the terms we have summarized below will apply generally to any warrants that we may offer under this prospectus, we will describe in particular the terms of any series of warrants that we may offer in more detail in the applicable prospectus supplement and any applicable free writing prospectus. The terms of any warrants offered under a prospectus supplement may differ from the terms described below.</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will file as an exhibit to the registration statement of which this prospectus is a part, or will incorporate by reference from another report that we file with the SEC, the form of warrant and/or warrant agreement, which may include a form of warrant certificate, as applicable, that describes the terms of the particular series of warrants we may offer before the issuance of the related series of warrants. We may issue the warrants under a warrant agreement that we will enter into with a warrant agent to be selected by us. The warrant agent will act solely as our agent in connection with the warrants and will not assume any obligation or relationship of agency or trust for or with any registered holders of warrants or beneficial owners of warrants. The following summary of material provisions of the warrants and warrant agreements is subject to, and qualified in its entirety by reference to, all the provisions of the form of warrant and/or warrant agreement and warrant certificate applicable to a particular series of warrants. We urge you to read the applicable prospectus supplement and any related free writing prospectus, as well as the complete form of warrant and/or the warrant agreement and warrant certificate, as applicable, that contain the terms of the warrants.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225"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such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such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such warrants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(including composite currencies) in which the price of such warrants may be payable;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securities purchasable upon exercise of such warrants and the procedures and conditions relating to the exercise of such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at which the securities purchasable upon exercise of such warrants may be purchased;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such warrants will commence and the date on which such right shall expire;</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for adjustment of the number or amount of securities receivable upon exercise of the warrants or the exercise price of the warrants;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such warrants that may be exercised at any one time;</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such warrants are issued and the number of such warrants issued with each such security;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on and after which such warrants and the related securities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with respect to book-entry procedures, if any;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 w:name="page27"/>
    <w:bookmarkEnd w:id="26"/>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of holding or exercising the warrants, if material;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such warrants, including terms, procedures and limitations relating to the exchange or exercise of such warrants.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warrant will entitle its holder to purchase the number of Ordinary Shares or preferred shares of the relevant class or series at the exercise price set forth in, or calculable as set forth in, the applicable prospectus supplement. The warrants may be exercised as set forth in the prospectus supplement relating to the warrants offered. Unless we otherwise specify in the applicable prospectus supplement, warrants may be exercised at any time up to the close of business on the expiration date set forth in the prospectus supplement relating to the warrants offered thereby. After the close of business on the expiration date, unexercised warrants will become void.</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will specify the place or places where, and the manner in which, warrants may be exercised in the form of warrant, warrant agreement or warrant certificate and applicable prospectus supplement. Upon receipt of payment and the warrant or warrant certificate, as applicable, properly completed and duly executed at the corporate trust office of the warrant agent, if any, or any other office, including ours, indicated in the prospectus supplement, we will, as soon as practicable, issue and deliver the securities purchasable upon such exercise. If less than all of the warrants (or the warrants represented by such warrant certificate) are exercised, a new warrant or a new warrant certificate, as applicable, upon the request of the holders thereof, will be issued for the remaining amount of warrants. If we so indicate in the applicable prospectus supplement, holders of the warrants may surrender securities as all or part of the exercise price for warrants.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Prior to the exercise of any warrants to purchase Ordinary Shares or preferred shares of the relevant class or series, holders of the warrants will not have any of the rights of holders of Ordinary Shares or preferred shares purchasable upon exercise, including the right to vote or to receive any payments of dividends or payments upon our liquidation, dissolution or winding up on the Ordinary Shares or preferred shares purchasable upon exercise, if any.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Warrants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the date of this prospectus, there were 18,844,987 outstanding Warrants to purchase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issued under an indenture (which we refer to herein as an Indenture) will be entered into between us and a trustee to be named therein. It is likely that convertible debt securities will not be issued under an Indenture.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Indenture or forms of Indentures, if any, will be filed as exhibits to the registration statement of which this prospectus is a part.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As you read this section, please remember that for each series of debt securities, the specific terms of your debt security as described in the applicable prospectus supplement will supplement and, if applicable, may modify or replace the general terms described in the summary below. The statement we make in this section may not apply to your debt security.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color w:val="auto"/>
        </w:rPr>
        <w:t>Events of Default Under the Indenture</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162"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the principal or premium, if any, when due and payable at maturity, upon redemption or repurchase or otherwise;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pay interest when due and payable and our failure continues for certain days;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observe or perform any other covenant contained in the Securities of a Series or in this Indenture, and our failure continues for certain days after we receive written notice from the trustee or holders of at least certain percentage in aggregate principal amount of the outstanding debt securities of the applicable series. The written notice must specify the Default, demand that it be remedied and state that the notice is a “Notice of Default”;</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specified events of bankruptcy, insolvency or reorganization occur;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other event of default provided with respect to securities of that series, which is specified in a Board Resolution, a supplemental indenture hereto or an Officers’ Certificate as defined in the Form of Indenture.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covenant in the Form of Indenture to deliver a certificate to the trustee annually, within certain days after the close of the fiscal year, to show that we are in compliance with the terms of the indenture and that we have not defaulted under the indenture.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Nonetheless, if we issue debt securities, the terms of the debt securities and the final form of indenture will be provided in a prospectus supplement. Please refer to the prospectus supplement and the form of indenture attached thereto for the terms and conditions of the offered debt securities. The terms and conditions may or may not include whether or not we must furnish periodic evidence showing that an event of default does not exist or that we are in compliance with the terms of the indenture.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statements and descriptions in this prospectus or in any prospectus supplement regarding provisions of the Indentures and debt securities are summaries thereof, do not purport to be complete and are subject to, and are qualified in their entirety by reference to, all of the provisions of the Indentures (and any amendments or supplements we may enter into from time to time which are permitted under each Indenture) and the debt securities, including the definitions therein of certain terms.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Unless otherwise specified in a prospectus supplement, the debt securities will be direct secured or unsecured obligations of our company. The senior debt securities will rank equally with any of our other unsecured senior and unsubordinated debt. The subordinated debt securities will be subordinate and junior in right of payment to any senior indebtedness.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senior indebtedness issued under an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color w:val="auto"/>
        </w:rPr>
        <w:t>Prospectus Supplement</w:t>
      </w:r>
    </w:p>
    <w:p>
      <w:pPr>
        <w:spacing w:after="0" w:line="22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being offered. These terms will include some or all of the following:</w:t>
      </w:r>
    </w:p>
    <w:p>
      <w:pPr>
        <w:spacing w:after="0" w:line="162"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they are subordinated, senior subordinated or senior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 if other than 360-day year or twelve 30-day months;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maximum consecutive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9" w:name="page30"/>
    <w:bookmarkEnd w:id="29"/>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 if other than the full principal amount;</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Ordinary Shares, preferred shares or other securities or property;</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25"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61" w:lineRule="exact"/>
        <w:rPr>
          <w:rFonts w:ascii="Times New Roman" w:cs="Times New Roman" w:eastAsia="Times New Roman" w:hAnsi="Times New Roman"/>
          <w:sz w:val="18"/>
          <w:szCs w:val="18"/>
          <w:color w:val="auto"/>
        </w:rPr>
      </w:pPr>
    </w:p>
    <w:p>
      <w:pPr>
        <w:ind w:left="324" w:hanging="324"/>
        <w:spacing w:after="0" w:line="282"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 if other than in the manner provided in the applicable Indenture;</w:t>
      </w:r>
    </w:p>
    <w:p>
      <w:pPr>
        <w:spacing w:after="0" w:line="175" w:lineRule="exact"/>
        <w:rPr>
          <w:rFonts w:ascii="Times New Roman" w:cs="Times New Roman" w:eastAsia="Times New Roman" w:hAnsi="Times New Roman"/>
          <w:sz w:val="18"/>
          <w:szCs w:val="18"/>
          <w:color w:val="auto"/>
        </w:rPr>
      </w:pPr>
    </w:p>
    <w:p>
      <w:pPr>
        <w:jc w:val="both"/>
        <w:ind w:left="324" w:hanging="324"/>
        <w:spacing w:after="0" w:line="266" w:lineRule="auto"/>
        <w:tabs>
          <w:tab w:leader="none" w:pos="32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392"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877" w:right="339" w:bottom="1440" w:gutter="0" w:footer="0" w:header="0"/>
        </w:sectPr>
      </w:pPr>
    </w:p>
    <w:bookmarkStart w:id="30" w:name="page31"/>
    <w:bookmarkEnd w:id="30"/>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 if other than the entire principal amount;</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the debt securities will not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Rights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Each series of rights will be issued under a separate rights agent agreement to be entered into between us and one or more banks, trust companies or other financial institutions, as rights agent, that we will name in the applicable prospectus supplement. The rights agent will act solely as our agent in connection with the rights and will not assume any obligation or relationship of agency or trust for or with any holders of rights certificates or beneficial owners of rights.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prospectus supplement relating to any rights that we offer will include specific terms relating to the offering, including, among other matters:</w:t>
      </w:r>
    </w:p>
    <w:p>
      <w:pPr>
        <w:spacing w:after="0" w:line="225" w:lineRule="exact"/>
        <w:rPr>
          <w:sz w:val="20"/>
          <w:szCs w:val="20"/>
          <w:color w:val="auto"/>
        </w:rPr>
      </w:pPr>
    </w:p>
    <w:p>
      <w:pPr>
        <w:ind w:left="5540" w:right="4720" w:hanging="4884"/>
        <w:spacing w:after="0" w:line="541" w:lineRule="auto"/>
        <w:tabs>
          <w:tab w:leader="none" w:pos="98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determining the security holders entitled to the rights distribution;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1" w:name="page32"/>
    <w:bookmarkEnd w:id="31"/>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for cash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less than all of the rights issued in any rights offering are exercised, we may offer any unsubscribed securities directly to persons other than our security holders, to or through agents, underwriters or dealers or through a combination of such methods, including pursuant to standby arrangements, as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may include in any applicable prospectus supplement,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and any related free writing prospectus.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will file as an exhibit to the registration statement of which this prospectus is a part, or will incorporate by reference from another report we file with the SEC, the form of unit agreement that describes the terms of the series of units we may offer under this prospectus,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 and any related free writing prospectus, as well as the complete unit agreement and any supplemental agreements that contain the terms of the units.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ind w:firstLine="648"/>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provisions described in this section, as well as those described under “— Description of Ordinary Shares,” “— Description of Preferred Shares,” and “— Description of Warrants” will apply to each unit and to any Ordinary Shares, preferred shares or warrant included in each unit,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Issuance in Series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issue units in such amounts and in numerous distinct series as we determine.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jc w:val="both"/>
        <w:ind w:right="20" w:firstLine="648"/>
        <w:spacing w:after="0" w:line="292" w:lineRule="auto"/>
        <w:rPr>
          <w:sz w:val="20"/>
          <w:szCs w:val="20"/>
          <w:color w:val="auto"/>
        </w:rPr>
      </w:pPr>
      <w:r>
        <w:rPr>
          <w:rFonts w:ascii="Times New Roman" w:cs="Times New Roman" w:eastAsia="Times New Roman" w:hAnsi="Times New Roman"/>
          <w:sz w:val="18"/>
          <w:szCs w:val="18"/>
          <w:color w:val="auto"/>
        </w:rPr>
        <w:t>The transfer agent and registrar for our Ordinary Shares and Warrants is Continental Stock Transfer &amp; Trust Company, with a mailing address of 1 State Street, 30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New York 10004.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Capital Market Listing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Ordinary Shares and Warrants are listed on the Nasdaq Capital Market under the symbols “HPAI” and “HPAIW,”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SELLING SHAREHOLDERS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prospectus covers the offering for resale of up to 215,942 Ordinary Shares (the “Resale Shares”), in one or more offerings, from time to time, held by the Selling Shareholders as specified in the table below. We will not receive any of the proceeds from the sale of the Resale Shares by the Selling Shareholders. The Resale Shares were issued to the Selling Shareholders pursuant to the SPAs.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prepared the table, the paragraph immediately following this paragraph, and the related notes based on information supplied to us by the Selling Shareholders and such information is as of March 25, 2026 (except otherwise noted). We have not sought to verify such information. We believe, based on information supplied by the Selling Shareholders, that except as may otherwise be indicated in the footnote to the table below, the Selling Shareholders have sole voting and dispositive power with respect to the Resale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Because the Selling Shareholders identified in the table may sell some or all of the Resale Shares which are included in this prospectus, and because there are currently no agreements, arrangements or understandings with respect to the sale of any of them, no estimate can be given as to the number of the Resale Shares available for resale. We have, therefore, assumed for the purpose of the following table, that the Selling Shareholders will sell all of the Resale Shares covered by this prospectus. The Selling Shareholders are not obligated to sell any of the Resale Shares offered by this prospectus.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Except for disclosure in this section, the Selling Shareholders have not had any material relationship with us within the past three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0" w:type="dxa"/>
            <w:vAlign w:val="bottom"/>
          </w:tcPr>
          <w:p>
            <w:pPr>
              <w:spacing w:after="0"/>
              <w:rPr>
                <w:sz w:val="1"/>
                <w:szCs w:val="1"/>
                <w:color w:val="auto"/>
              </w:rPr>
            </w:pPr>
          </w:p>
        </w:tc>
      </w:tr>
      <w:tr>
        <w:trPr>
          <w:trHeight w:val="184"/>
        </w:trPr>
        <w:tc>
          <w:tcPr>
            <w:tcW w:w="5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220"/>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gridSpan w:val="2"/>
          </w:tcPr>
          <w:p>
            <w:pPr>
              <w:jc w:val="center"/>
              <w:ind w:right="200"/>
              <w:spacing w:after="0" w:line="184" w:lineRule="exact"/>
              <w:rPr>
                <w:sz w:val="20"/>
                <w:szCs w:val="20"/>
                <w:color w:val="auto"/>
              </w:rPr>
            </w:pPr>
            <w:r>
              <w:rPr>
                <w:rFonts w:ascii="Times New Roman" w:cs="Times New Roman" w:eastAsia="Times New Roman" w:hAnsi="Times New Roman"/>
                <w:sz w:val="18"/>
                <w:szCs w:val="18"/>
                <w:b w:val="1"/>
                <w:bCs w:val="1"/>
                <w:color w:val="auto"/>
                <w:w w:val="98"/>
              </w:rPr>
              <w:t>Ordinary</w:t>
            </w:r>
          </w:p>
        </w:tc>
        <w:tc>
          <w:tcPr>
            <w:tcW w:w="1340" w:type="dxa"/>
            <w:vAlign w:val="bottom"/>
            <w:gridSpan w:val="2"/>
            <w:vMerge w:val="continue"/>
          </w:tcPr>
          <w:p>
            <w:pPr>
              <w:spacing w:after="0"/>
              <w:rPr>
                <w:sz w:val="16"/>
                <w:szCs w:val="16"/>
                <w:color w:val="auto"/>
              </w:rPr>
            </w:pPr>
          </w:p>
        </w:tc>
        <w:tc>
          <w:tcPr>
            <w:tcW w:w="1260" w:type="dxa"/>
            <w:vAlign w:val="bottom"/>
            <w:gridSpan w:val="2"/>
          </w:tcPr>
          <w:p>
            <w:pPr>
              <w:jc w:val="center"/>
              <w:ind w:right="180"/>
              <w:spacing w:after="0" w:line="184" w:lineRule="exact"/>
              <w:rPr>
                <w:sz w:val="20"/>
                <w:szCs w:val="20"/>
                <w:color w:val="auto"/>
              </w:rPr>
            </w:pPr>
            <w:r>
              <w:rPr>
                <w:rFonts w:ascii="Times New Roman" w:cs="Times New Roman" w:eastAsia="Times New Roman" w:hAnsi="Times New Roman"/>
                <w:sz w:val="18"/>
                <w:szCs w:val="18"/>
                <w:b w:val="1"/>
                <w:bCs w:val="1"/>
                <w:color w:val="auto"/>
                <w:w w:val="99"/>
              </w:rPr>
              <w:t>Outstanding</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Shares to be</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Owned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Sold Pursuant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Prior to</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to this</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Owned After</w:t>
            </w:r>
          </w:p>
        </w:tc>
        <w:tc>
          <w:tcPr>
            <w:tcW w:w="0" w:type="dxa"/>
            <w:vAlign w:val="bottom"/>
          </w:tcPr>
          <w:p>
            <w:pPr>
              <w:spacing w:after="0"/>
              <w:rPr>
                <w:sz w:val="1"/>
                <w:szCs w:val="1"/>
                <w:color w:val="auto"/>
              </w:rPr>
            </w:pPr>
          </w:p>
        </w:tc>
      </w:tr>
      <w:tr>
        <w:trPr>
          <w:trHeight w:val="27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of Selling Shareholder</w:t>
            </w:r>
          </w:p>
        </w:tc>
        <w:tc>
          <w:tcPr>
            <w:tcW w:w="1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Resale</w:t>
            </w:r>
          </w:p>
        </w:tc>
        <w:tc>
          <w:tcPr>
            <w:tcW w:w="22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2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3"/>
              </w:rPr>
              <w:t xml:space="preserve">Resale </w:t>
            </w:r>
            <w:r>
              <w:rPr>
                <w:rFonts w:ascii="Times New Roman" w:cs="Times New Roman" w:eastAsia="Times New Roman" w:hAnsi="Times New Roman"/>
                <w:sz w:val="29"/>
                <w:szCs w:val="29"/>
                <w:b w:val="1"/>
                <w:bCs w:val="1"/>
                <w:color w:val="auto"/>
                <w:w w:val="93"/>
                <w:vertAlign w:val="superscript"/>
              </w:rPr>
              <w:t>(3)</w:t>
            </w:r>
          </w:p>
        </w:tc>
        <w:tc>
          <w:tcPr>
            <w:tcW w:w="2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Resale</w:t>
            </w:r>
          </w:p>
        </w:tc>
        <w:tc>
          <w:tcPr>
            <w:tcW w:w="1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58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Youth Spring Limited</w:t>
            </w:r>
            <w:r>
              <w:rPr>
                <w:rFonts w:ascii="Times New Roman" w:cs="Times New Roman" w:eastAsia="Times New Roman" w:hAnsi="Times New Roman"/>
                <w:sz w:val="29"/>
                <w:szCs w:val="29"/>
                <w:color w:val="auto"/>
                <w:vertAlign w:val="superscript"/>
              </w:rPr>
              <w:t>(1)</w:t>
            </w:r>
          </w:p>
        </w:tc>
        <w:tc>
          <w:tcPr>
            <w:tcW w:w="1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125,000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125,000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9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FountainX</w:t>
            </w:r>
            <w:r>
              <w:rPr>
                <w:rFonts w:ascii="Times New Roman" w:cs="Times New Roman" w:eastAsia="Times New Roman" w:hAnsi="Times New Roman"/>
                <w:sz w:val="29"/>
                <w:szCs w:val="29"/>
                <w:color w:val="auto"/>
                <w:vertAlign w:val="superscript"/>
              </w:rPr>
              <w:t>(2)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90,942</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90,942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125,000 Ordinary Shares held by Youth Spring Limited, a Samoa company wholly owned by Jinghua Cai, who has voting and dispositive control over the securities owned by Youth Spring Limited. The principal address of Youth Spring Limited is Vistra Corporate Services Centre, Ground Floor NPF Building, Beach Road, Apia, Samoa.</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90,942 Ordinary Shares held by FountainX, a British Virgin Islands company wholly owned by Xuran Cheng, who has voting and dispositive control over the securities owned by FountainX. The principal address of FountainX is Sea Meadow House, P.O. Box 116, Road Town, Tortola, British Virgin Islands.</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amount of Ordinary Shares that will be held by the Selling Shareholders after the resale of the Resale Shares, based on the assumptions that (a) all the Resale Shares will be sold, and (b) no other Ordinary Shares will be acquired or sold by the Selling Shareholders prior to the resale of the Resale Shares. However, the Selling Shareholders may sell all, some or none of the Resale Shares offered pursuant to this prospectus and may sell other Ordinary Shares that they may own pursuant to another registration statement under the Securities Act or sell some or all of their Ordinary Shares pursuant to an exemption from the registration provisions of the Securities Act, including under Rule 144.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and the Selling Shareholders described herein and identified in supplements to this prospectus may sell the securities offered through this prospectus (i) to or through underwriters or dealers, (ii) directly to purchasers, including our affiliates, (iii) through agents, or (iv) through a combination of any these methods. The securities may be distributed at a fixed price or prices, which may be changed, market prices prevailing at the time of sale, prices related to the prevailing market prices, or negotiated prices. The prospectus supplement will include the following information:</w:t>
      </w:r>
    </w:p>
    <w:p>
      <w:pPr>
        <w:spacing w:after="0" w:line="180" w:lineRule="exact"/>
        <w:rPr>
          <w:sz w:val="20"/>
          <w:szCs w:val="20"/>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underwriters or agents;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managing underwriter or underwriters;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from the sale of the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arrangements;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commissions and other items constituting underwriters’ compensation;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public offering price;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commissions paid to agents;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Through Underwriters or Dealers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Only underwriters named in the prospectus supplement are underwriters of the securities offered by the prospectus supplement. If underwriters are used in the sale, the underwriters will acquire the securities for their own account, including through underwriting, purchase, security lending or repurchase agreements with us. The underwriters may resell the securities from time to time in one or more transactions, including negotiated transactions. Underwriters may sell the securities in order to facilitate transactions in any of our other securities (described in this prospectus or otherwise), including other public or private transactions and short sales. Underwriters may offer securities to the public either through underwriting syndicates represented by one or more managing underwriters or directly by one or more firms acting as underwriters. Unless otherwise indicated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public offering price and any discounts or concessions allowed or reallowed or paid to dealers.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5" w:name="page36"/>
    <w:bookmarkEnd w:id="3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dealers are used in the sale of securities offered through this prospectus, we will sell the securities to them as principals. They may then resell those securities to the public at varying prices determined by the dealers at the time of resale. The prospectus supplement will include the names of the dealers and the terms of the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will provide in the applicable prospectus supplement any compensation we will pay to underwriters, dealers or agents in connection with the offering of the securities, and any discounts, concessions or commissions allowed by underwriters to participating dealers.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 Sales and Sales Through Agents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and the Selling Shareholders may sell the securities offered through this prospectus directly. In such case, no underwriters or agents would be involved. Such securities may also be sold through agents designated from time to time. The prospectus supplement will name any agent involved in the offer or sale of the offered securities and will describe any commissions payable to the agent. Unless otherwise indicated in the prospectus supplement, any agent will agree to use its reasonable best efforts to solicit purchases for the period of its appointment.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and the Selling Shareholders may sell the securities directly to institutional investors or others who may be deemed to be underwriters within the meaning of the Securities Act with respect to any sale of those securities. The terms of any such sales will be described in the prospectus supplement.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Delayed Delivery Contracts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the prospectus supplement indicates, we may authorize agents, underwriters or dealers to solicit offers from certain types of institutions to purchase securities at the public offering price under delayed delivery contracts. These contracts would provide for payment and delivery on a specified date in the future. The contracts would be subject only to those conditions described in the prospectus supplement. The applicable prospectus supplement will describe the commission payable for solicitation of those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Making, Stabilization and Other Transactions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the applicable prospectus supplement states otherwise, other than our Ordinary Shares, all securities we offer under this prospectus will be a new issue and will have no established trading market. We may elect to list offered securities on an exchange or in the over-the-counter market. Any underwriters that we use in the sale of offered securities may make a market in such securities, but may discontinue such market making at any time without notice. Therefore, we cannot assure you that the securities will have a liquid trading market.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Any underwriter may also engage in stabilizing transactions, syndicate covering transactions and penalty bids in accordance with Rule 104 under the Securities Exchange Act. Stabilizing transactions involve bids to purchase the underlying security in the open market for the purpose of pegging, fixing or maintaining the price of the securities. Syndicate covering transactions involve purchases of the securities in the open market after the distribution has been completed in order to cover syndicate short positions.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Penalty bids permit the underwriters to reclaim a selling concession from a syndicate member when the securities originally sold by the syndicate member are purchased in a syndicate covering transaction to cover syndicate short positions. Stabilizing transactions, syndicate covering transactions and penalty bids may cause the price of the securities to be higher than it would be in the absence of the transactions. The underwriters may, if they commence these transactions, discontinue them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Agents, underwriters, and dealers may be entitled, under agreements entered into with us, to indemnification by us against certain liabilities, including liabilities under the Securities Act. Our agents, underwriters, and dealers, or their affiliates, may be customers of, engage in transactions with or perform services for us, in the ordinary course of business.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Except as otherwise set forth in the applicable prospectus supplement, certain legal matters in connection with the securities offered pursuant to this prospectus will be passed upon for us by Hunter Taubman Fischer &amp; Li LLC to the extent governed by the laws of the State of New York, and by Ogier to the extent governed by the laws of the British Virgin Islands. If legal matters in connection with offerings made pursuant to this prospectus are passed upon by counsel to underwriters, dealers or agents, such counsel will be named in the applicable prospectus supplement relating to any such offering.</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of Helport AI Limited as of and for the years ended June 30, 2025, 2024 and 2023 appearing in our most recent annual report on Form 20-F, filed on November 17, 2025, have been audited by Enrome LLP, our current independent registered public accounting firm, as set forth in the 2025 Annual Report, and are included in reliance upon such report given on the authority of such firm as experts in accounting and auditing.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office of Enrome LLP is located at 143 Cecil Street, #19-03/04 GB Building, Singapore 069542.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audited consolidated financial statements of Helport AI Limited as of June 30, 2025, 2024 and 2023 are included in our 2025 Annual Report, which are incorporated by reference into this prospectus.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the information we file with the SEC. This means that we can disclose important information to you by referring you to those documents. Any statement contained in a document incorporated by reference in this prospectus shall be deemed to be modified or superseded for purposes of this prospectus to the extent that a statement contained herein, or in any subsequently filed document, which also is incorporated by reference herein, modifies or supersedes such earlier statement. Any such statement so modified or superseded shall not be deemed, except as so modified or superseded, to constitute a part of this prospectus.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hereby incorporate by reference into this prospectus the following documents that we have filed with the SEC under the Exchange Act:</w:t>
      </w:r>
    </w:p>
    <w:p>
      <w:pPr>
        <w:spacing w:after="0" w:line="225" w:lineRule="exact"/>
        <w:rPr>
          <w:sz w:val="20"/>
          <w:szCs w:val="20"/>
          <w:color w:val="auto"/>
        </w:rPr>
      </w:pPr>
    </w:p>
    <w:p>
      <w:pPr>
        <w:ind w:left="980" w:hanging="324"/>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53">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June 30, 2025, filed with the SEC on November 17, 2025.</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and Warrants incorporated by reference in our registration statement on </w:t>
      </w:r>
      <w:hyperlink r:id="rId54">
        <w:r>
          <w:rPr>
            <w:rFonts w:ascii="Times New Roman" w:cs="Times New Roman" w:eastAsia="Times New Roman" w:hAnsi="Times New Roman"/>
            <w:sz w:val="18"/>
            <w:szCs w:val="18"/>
            <w:u w:val="single" w:color="auto"/>
            <w:color w:val="0000EE"/>
          </w:rPr>
          <w:t>Form 8-A</w:t>
        </w:r>
      </w:hyperlink>
      <w:r>
        <w:rPr>
          <w:rFonts w:ascii="Times New Roman" w:cs="Times New Roman" w:eastAsia="Times New Roman" w:hAnsi="Times New Roman"/>
          <w:sz w:val="18"/>
          <w:szCs w:val="18"/>
          <w:color w:val="auto"/>
        </w:rPr>
        <w:t>, as amended (File No. 001-42205) filed with the Commission on August 2, 2024 including any amendment and report subsequently filed for the purpose of updating that description.</w:t>
      </w:r>
    </w:p>
    <w:p>
      <w:pPr>
        <w:spacing w:after="0" w:line="176" w:lineRule="exact"/>
        <w:rPr>
          <w:rFonts w:ascii="Times New Roman" w:cs="Times New Roman" w:eastAsia="Times New Roman" w:hAnsi="Times New Roman"/>
          <w:sz w:val="18"/>
          <w:szCs w:val="18"/>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documents that we file with the SEC pursuant to Section 13(a), 13(c), 14 or 15(d) of the Exchange Act (and in the case of a Report on Form 6-K, so long as they state that they are incorporated by reference into this prospectus, and other than Reports on Form 6-K, or portions thereof, furnished under Form 6-K) (i) after the initial filing date of the registration statement of which this prospectus forms a part and prior to the effectiveness of such registration statement and (ii) after the date of this prospectus and prior to the termination of the offering shall be deemed to be incorporated by reference in this prospectus from the date of filing of the documents, unless we specifically provide otherwise. Information that we file with the SEC will automatically update and may replace information previously filed with the SEC. To the extent that any information contained in any Current Report on Form 6-K or any exhibit thereto, was or is furnished to, rather than filed with the SEC, such information or exhibit is specifically not incorporated by reference.</w:t>
      </w:r>
    </w:p>
    <w:p>
      <w:pPr>
        <w:spacing w:after="0" w:line="189" w:lineRule="exact"/>
        <w:rPr>
          <w:rFonts w:ascii="Times New Roman" w:cs="Times New Roman" w:eastAsia="Times New Roman" w:hAnsi="Times New Roman"/>
          <w:sz w:val="18"/>
          <w:szCs w:val="18"/>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Upon request, we will provide, without charge, to each person who receives this prospectus, a copy of any or all of the documents incorporated by reference (other than exhibits to the documents that are not specifically incorporated by reference in the documents). Please direct written or oral requests for copies to us at Attn: Mr. Guanghai Li, Chief Executive Officer, 9 Temasek Boulevard #07-00, Suntec Tower Two, Singapore 038989, at +65 82336584.</w:t>
      </w:r>
    </w:p>
    <w:p>
      <w:pPr>
        <w:spacing w:after="0" w:line="39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permitted by SEC rules, this prospectus omits certain information and exhibits that are included in the registration statement of which this prospectus forms a part. Since this prospectus may not contain all of the information that you may find important, you should review the full text of these documents. If we have filed a contract, agreement or other document as an exhibit to the registration statement of which this prospectus forms a part, you should read the exhibit for a more complete understanding of the document or matter involved. Each statement in this prospectus, including statements incorporated by reference as discussed above, regarding a contract, agreement or other document is qualified in its entirety by reference to the actual document.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We are subject to the information reporting requirements of the Exchange Act that are applicable to foreign private issuers, and, in accordance with these requirements, we file annual and current reports and other information with the SEC. The SEC maintains an internet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our filed reports and other information that we file electronically with the SEC.</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We maintain a corporate website at </w:t>
      </w:r>
      <w:r>
        <w:rPr>
          <w:rFonts w:ascii="Times New Roman" w:cs="Times New Roman" w:eastAsia="Times New Roman" w:hAnsi="Times New Roman"/>
          <w:sz w:val="18"/>
          <w:szCs w:val="18"/>
          <w:i w:val="1"/>
          <w:iCs w:val="1"/>
          <w:color w:val="auto"/>
        </w:rPr>
        <w:t>https://www.helport.ai</w:t>
      </w:r>
      <w:r>
        <w:rPr>
          <w:rFonts w:ascii="Times New Roman" w:cs="Times New Roman" w:eastAsia="Times New Roman" w:hAnsi="Times New Roman"/>
          <w:sz w:val="18"/>
          <w:szCs w:val="18"/>
          <w:color w:val="auto"/>
        </w:rPr>
        <w:t>. Information contained on, or that can be accessed through, our website does not constitute a part of this prospectus.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ENFORCEABILITY OF CIVIL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Islands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was incorporated in the British Virgin Islands in order to enjoy the following benefits:</w:t>
      </w:r>
    </w:p>
    <w:p>
      <w:pPr>
        <w:spacing w:after="0" w:line="225" w:lineRule="exact"/>
        <w:rPr>
          <w:sz w:val="20"/>
          <w:szCs w:val="20"/>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stability;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effective judicial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tax system;</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exchange control or currency restrictions;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professional and support services.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However, certain disadvantages accompany incorporation in the British Virgin Islands. These disadvantages include, but are not limited to, the following:</w:t>
      </w:r>
    </w:p>
    <w:p>
      <w:pPr>
        <w:spacing w:after="0" w:line="162" w:lineRule="exact"/>
        <w:rPr>
          <w:sz w:val="20"/>
          <w:szCs w:val="20"/>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British Virgin Islands has a less developed body of securities laws as compared to the United States and these securities laws provide significantly less protection to investors;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British Virgin Islands companies may not have standing to sue before the federal courts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Amended and Restated Memorandum and Articles do not contain provisions requiring that disputes, including those arising under the securities laws of the United States, between us, our officers, directors and shareholders, be arbitrated.</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majority of our Company’s operations are conducted outside the United States, and a majority of our Company’s assets are located outside the United States. A majority of our Company’s directors and officers are nationals or residents of jurisdictions other than the United States and a substantial portion of their assets are located outside the United States. As a result, it may be difficult for a shareholder to effect service of process within the United States upon these persons, or to enforce against our Company or them judgments obtained in United States courts, including judgments predicated upon the civil liability provisions of the securities laws of the United States or any state in the United States.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Ogier, our British Virgin Islands counsel, has informed us that the BVI does not have a treaty providing for reciprocal recognition and enforcement of judgments of courts of the United States in civil and commercial matters and that a final judgment for the payment of money rendered by any general or state court in the United States based on civil liability, whether or not predicated solely upon the U.S. federal securities laws, would not be enforceable in the BVI. We have also been advised that a final and conclusive judgment obtained in U.S. federal or state courts under which a sum of money is payable as compensatory damages (i.e., not being a sum claimed by a revenue authority for taxes or other charges of a similar nature by a governmental authority, or in respect of a fine or penalty or multiple or punitive damages) may be the subject of an action on a debt in the court of the BVI under the common law doctrine of obligation.</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Ogier has further advised us that that there is currently no statutory enforcement or treaty between the United States and the British Virgin Islands providing for enforcement of judgments. A judgment obtained in the United States, however, may be recognized and enforced in the courts of the British Virgin Islands at common law, without any re-examination on the merits of the underlying dispute, by an action commenced on the foreign judgment debt in the Commercial Division of the Eastern Caribbean Supreme Court in the British Virgin Islands, provided such judgment: (i) is given by a foreign court of competent jurisdiction; (ii) is final; (iii) is not in respect of taxes, a fine or a penalty; and (iv) was not obtained in a manner and is not of a kind the enforcement of which is contrary to natural justice or public policy of the British Virgin Islands. Furthermore, it is uncertain that British Virgin Islands courts would enforce: (1) judgments of U.S. courts obtained in actions against us or other persons that are predicated upon the civil liability provisions of the U.S. federal securities laws; or (2) original actions brought against us or other persons predicated upon the Securities Act. Our British Virgin Islands counsel has informed us that there is uncertainty with regard to British Virgin Islands law relating to whether a judgment obtained from the U.S. courts under civil liability provisions of the securities laws will be determined by the courts of the British Virgin Islands as penal or punitive in nature.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general, the judgment creditor is responsible for enforcing the order or judgment in all civil claims under Singapore law, and the Singapore Courts will not be responsible for the commencement of enforcement proceedings. A judgment creditor may enforce an order or judgment through writ of possession, writ of seizure and sale, writ of delivery and garnishee proceedings. If a party subject to a judgment does not comply with a court order, the Singapore court may commence committal proceedings, through which the court can determine penalties against such party. Where a foreign judgment is obtained in a court of law outside of Singapore, the party seeking enforcement may have to register the foreign judgment with the High Court of Singapore before it can be enforced in Singapore.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With respect to the registration of a foreign judgment, it is noted that Singapore does not have treaties providing for the reciprocal recognition and enforcement of judgments of courts with United States. Further, it is unclear if extradition treaties currently in effect between the United States and Singapore would permit enforcement of criminal penalties of U.S. federal securities laws. In this case, the judgment creditor may be required to commence an action for the recovery of judgment debt in the Singapore courts under common laws to recognize and enforce the judgment.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general matter, the interpretation and enforcement of laws and regulations in Singapore involve a certain degree of uncertainty. As local administrative and court authorities and in certain cases, independent organizations, have significant discretion in interpreting and implementing statutory provisions and contractual terms, it may be difficult to evaluate the outcome of administrative and court proceedings and the level of legal protection that our Company and its subsidiaries may enjoy in the locations that they operate in. Moreover, the local courts may have broad discretion to reject enforcement of foreign awards. These uncertainties may affect our Company and its subsidiaries’ judgment on the relevance of legal requirements and their ability to enforce contractual rights or tort claims. In addition, the regulatory uncertainties may be exploited through unmerited or frivolous legal actions or threats in attempts to exact payments or benefits from our Company and its subsidiaries.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INDEMNIFICATION FOR SECURITIES ACT LIABILITIES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and controlling persons pursuant to the foregoing provisions, or otherwise,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Indemnification of Directors and Officers</w:t>
      </w:r>
    </w:p>
    <w:p>
      <w:pPr>
        <w:spacing w:after="0" w:line="22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Our Amended and Restated Memorandum and Articles, the BVI Business Companies Act, 2004, as amended, and the common law of the British Virgin Islands allow us to indemnify our officers and directors from certain liabilities. Our Amended and Restated Memorandum and Articles provide that we may indemnify, hold harmless and exonerate against all direct and indirect costs, fees and expenses of any type or nature whatsoever, any person who</w:t>
      </w:r>
    </w:p>
    <w:p>
      <w:pPr>
        <w:spacing w:after="0" w:line="1" w:lineRule="exact"/>
        <w:rPr>
          <w:sz w:val="20"/>
          <w:szCs w:val="20"/>
          <w:color w:val="auto"/>
        </w:rPr>
      </w:pPr>
    </w:p>
    <w:p>
      <w:pPr>
        <w:jc w:val="both"/>
        <w:ind w:firstLine="8"/>
        <w:spacing w:after="0" w:line="255" w:lineRule="auto"/>
        <w:tabs>
          <w:tab w:leader="none" w:pos="2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was a party or is threatened to be made a party to any proceeding by reason of the fact that such person is or was a director, officer, key employee, adviser of the Company or who at the request of the Company; or (b) is or was, at the request of the Company, serving as a director of, or in any other capacity is or was acting for, another company.</w:t>
      </w:r>
    </w:p>
    <w:p>
      <w:pPr>
        <w:spacing w:after="0" w:line="186" w:lineRule="exact"/>
        <w:rPr>
          <w:sz w:val="20"/>
          <w:szCs w:val="20"/>
          <w:color w:val="auto"/>
        </w:rPr>
      </w:pPr>
    </w:p>
    <w:p>
      <w:pPr>
        <w:jc w:val="both"/>
        <w:ind w:firstLine="700"/>
        <w:spacing w:after="0" w:line="258" w:lineRule="auto"/>
        <w:rPr>
          <w:sz w:val="20"/>
          <w:szCs w:val="20"/>
          <w:color w:val="auto"/>
        </w:rPr>
      </w:pPr>
      <w:r>
        <w:rPr>
          <w:rFonts w:ascii="Times New Roman" w:cs="Times New Roman" w:eastAsia="Times New Roman" w:hAnsi="Times New Roman"/>
          <w:sz w:val="18"/>
          <w:szCs w:val="18"/>
          <w:color w:val="auto"/>
        </w:rPr>
        <w:t>The Company will only indemnify the individual in question if the relevant indemnitee acted honestly and in good faith with a view to the best interests of the Company and, in the case of criminal proceedings, the indemnitee had no reasonable cause to believe that his conduct was unlawful. The decision of the Board as to whether an indemnitee acted honestly and in good faith and with a view to the best interests of the Company and as to whether such indemnitee had no reasonable cause to believe that his conduct was unlawful is, in the absence of fraud, sufficient for the purposes of our Memorandum and Articles of Association, unless a question of law is involved.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termination of any proceedings by any judgment, order, settlement, conviction or the entering of a nolle prosequi does not, by itself, create a presumption that the relevant indemnitee did not act honestly and in good faith and with a view to the best interests of the Company or that such indemnitee had reasonable cause to believe that his conduct was unlawful.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may purchase and maintain insurance, purchase or furnish similar protection or make other arrangements including, but not limited to, providing a trust fund, letter of credit, or surety bond in relation to any indemnitee or who at the request of the Company is or was serving as a director, officer or liquidator of, or in any other capacity is or was acting for, another company, against any liability asserted against the person and incurred by him in that capacity, whether or not the Company has or would have had the power to indemnify him against the liability as provided in our Amended and Restated Memorandum and Articles.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16"/>
        </w:trPr>
        <w:tc>
          <w:tcPr>
            <w:tcW w:w="10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auto"/>
            </w:tcBorders>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Underwriting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Specimen Ordinary Share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Preferred Shares Certificate**</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Warrant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 Agreement**</w:t>
            </w: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Unit Agreement and Unit Certificate**</w:t>
            </w:r>
          </w:p>
        </w:tc>
      </w:tr>
      <w:tr>
        <w:trPr>
          <w:trHeight w:val="216"/>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shd w:val="clear" w:color="auto" w:fill="CCEEFF"/>
          </w:tcPr>
          <w:p>
            <w:pPr>
              <w:spacing w:after="0"/>
              <w:rPr>
                <w:sz w:val="18"/>
                <w:szCs w:val="18"/>
                <w:color w:val="auto"/>
              </w:rPr>
            </w:pPr>
          </w:p>
        </w:tc>
        <w:tc>
          <w:tcPr>
            <w:tcW w:w="1010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Right Agreement and Right Certificate**</w:t>
            </w: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5"/>
                <w:szCs w:val="15"/>
                <w:color w:val="auto"/>
              </w:rPr>
            </w:pPr>
          </w:p>
        </w:tc>
        <w:tc>
          <w:tcPr>
            <w:tcW w:w="10100" w:type="dxa"/>
            <w:vAlign w:val="bottom"/>
            <w:tcBorders>
              <w:bottom w:val="single" w:sz="8" w:color="0000EE"/>
            </w:tcBorders>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 with respect to senior debt securities, to be entered into between registrant and a trustee acceptable to the registrant, if</w:t>
            </w: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10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any.</w:t>
            </w: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Form of indenture with respect to subordinated debt securities, to be entered into between registrant and a trustee acceptable to the</w:t>
            </w:r>
          </w:p>
        </w:tc>
      </w:tr>
      <w:tr>
        <w:trPr>
          <w:trHeight w:val="217"/>
        </w:trPr>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0000EE"/>
            </w:tcBorders>
            <w:gridSpan w:val="2"/>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w w:val="97"/>
              </w:rPr>
              <w:t>registrant, if any.</w:t>
            </w:r>
          </w:p>
        </w:tc>
        <w:tc>
          <w:tcPr>
            <w:tcW w:w="8880" w:type="dxa"/>
            <w:vAlign w:val="bottom"/>
            <w:tcBorders>
              <w:bottom w:val="single" w:sz="8" w:color="CCEEFF"/>
            </w:tcBorders>
            <w:gridSpan w:val="7"/>
            <w:shd w:val="clear" w:color="auto" w:fill="CCEEFF"/>
          </w:tcPr>
          <w:p>
            <w:pPr>
              <w:spacing w:after="0"/>
              <w:rPr>
                <w:sz w:val="18"/>
                <w:szCs w:val="18"/>
                <w:color w:val="auto"/>
              </w:rPr>
            </w:pPr>
          </w:p>
        </w:tc>
      </w:tr>
      <w:tr>
        <w:trPr>
          <w:trHeight w:val="216"/>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01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Form of Debt Securities**</w:t>
            </w:r>
          </w:p>
        </w:tc>
      </w:tr>
      <w:tr>
        <w:trPr>
          <w:trHeight w:val="17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5.1</w:t>
            </w:r>
          </w:p>
        </w:tc>
        <w:tc>
          <w:tcPr>
            <w:tcW w:w="120" w:type="dxa"/>
            <w:vAlign w:val="bottom"/>
            <w:shd w:val="clear" w:color="auto" w:fill="CCEEFF"/>
          </w:tcPr>
          <w:p>
            <w:pPr>
              <w:spacing w:after="0"/>
              <w:rPr>
                <w:sz w:val="15"/>
                <w:szCs w:val="15"/>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Ogier</w:t>
            </w:r>
          </w:p>
        </w:tc>
      </w:tr>
      <w:tr>
        <w:trPr>
          <w:trHeight w:val="20"/>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9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Subscription Agreement dated October 2, 2025 by and between Helport AI Limited and Youth Spring Limited***</w:t>
              </w:r>
            </w:hyperlink>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86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7"/>
                <w:szCs w:val="17"/>
                <w:color w:val="auto"/>
              </w:rPr>
            </w:pPr>
          </w:p>
        </w:tc>
        <w:tc>
          <w:tcPr>
            <w:tcW w:w="10100" w:type="dxa"/>
            <w:vAlign w:val="bottom"/>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Subscription Agreement dated November 15, 2025 by and between Helport AI Limited and FountainX</w:t>
            </w:r>
          </w:p>
        </w:tc>
      </w:tr>
      <w:tr>
        <w:trPr>
          <w:trHeight w:val="175"/>
        </w:trPr>
        <w:tc>
          <w:tcPr>
            <w:tcW w:w="102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20" w:type="dxa"/>
            <w:vAlign w:val="bottom"/>
            <w:tcBorders>
              <w:top w:val="single" w:sz="8" w:color="CCEEFF"/>
            </w:tcBorders>
          </w:tcPr>
          <w:p>
            <w:pPr>
              <w:spacing w:after="0"/>
              <w:rPr>
                <w:sz w:val="15"/>
                <w:szCs w:val="15"/>
                <w:color w:val="auto"/>
              </w:rPr>
            </w:pPr>
          </w:p>
        </w:tc>
        <w:tc>
          <w:tcPr>
            <w:tcW w:w="7400" w:type="dxa"/>
            <w:vAlign w:val="bottom"/>
            <w:tcBorders>
              <w:top w:val="single" w:sz="8" w:color="0000EE"/>
            </w:tcBorders>
            <w:gridSpan w:val="7"/>
          </w:tcPr>
          <w:p>
            <w:pPr>
              <w:spacing w:after="0" w:line="176" w:lineRule="exact"/>
              <w:rPr>
                <w:sz w:val="20"/>
                <w:szCs w:val="20"/>
                <w:color w:val="auto"/>
              </w:rPr>
            </w:pPr>
            <w:r>
              <w:rPr>
                <w:rFonts w:ascii="Times New Roman" w:cs="Times New Roman" w:eastAsia="Times New Roman" w:hAnsi="Times New Roman"/>
                <w:sz w:val="18"/>
                <w:szCs w:val="18"/>
                <w:color w:val="0000EE"/>
              </w:rPr>
              <w:t>Consent of Enrome LLP</w:t>
            </w:r>
          </w:p>
        </w:tc>
        <w:tc>
          <w:tcPr>
            <w:tcW w:w="2700" w:type="dxa"/>
            <w:vAlign w:val="bottom"/>
            <w:tcBorders>
              <w:top w:val="single" w:sz="8" w:color="CCEEFF"/>
            </w:tcBorders>
            <w:gridSpan w:val="2"/>
          </w:tcPr>
          <w:p>
            <w:pPr>
              <w:spacing w:after="0"/>
              <w:rPr>
                <w:sz w:val="15"/>
                <w:szCs w:val="15"/>
                <w:color w:val="auto"/>
              </w:rPr>
            </w:pPr>
          </w:p>
        </w:tc>
      </w:tr>
      <w:tr>
        <w:trPr>
          <w:trHeight w:val="21"/>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9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23.2</w:t>
            </w:r>
          </w:p>
        </w:tc>
        <w:tc>
          <w:tcPr>
            <w:tcW w:w="120" w:type="dxa"/>
            <w:vAlign w:val="bottom"/>
            <w:tcBorders>
              <w:bottom w:val="single" w:sz="8" w:color="CCEEFF"/>
            </w:tcBorders>
            <w:shd w:val="clear" w:color="auto" w:fill="CCEEFF"/>
          </w:tcPr>
          <w:p>
            <w:pPr>
              <w:spacing w:after="0"/>
              <w:rPr>
                <w:sz w:val="17"/>
                <w:szCs w:val="17"/>
                <w:color w:val="auto"/>
              </w:rPr>
            </w:pPr>
          </w:p>
        </w:tc>
        <w:tc>
          <w:tcPr>
            <w:tcW w:w="306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Consent of Ogier (included in Exhibit 5.1)</w:t>
            </w:r>
          </w:p>
        </w:tc>
        <w:tc>
          <w:tcPr>
            <w:tcW w:w="7040" w:type="dxa"/>
            <w:vAlign w:val="bottom"/>
            <w:tcBorders>
              <w:bottom w:val="single" w:sz="8" w:color="CCEEFF"/>
            </w:tcBorders>
            <w:gridSpan w:val="4"/>
            <w:shd w:val="clear" w:color="auto" w:fill="CCEEFF"/>
          </w:tcPr>
          <w:p>
            <w:pPr>
              <w:spacing w:after="0"/>
              <w:rPr>
                <w:sz w:val="17"/>
                <w:szCs w:val="17"/>
                <w:color w:val="auto"/>
              </w:rPr>
            </w:pPr>
          </w:p>
        </w:tc>
      </w:tr>
      <w:tr>
        <w:trPr>
          <w:trHeight w:val="176"/>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24.1</w:t>
            </w:r>
          </w:p>
        </w:tc>
        <w:tc>
          <w:tcPr>
            <w:tcW w:w="120" w:type="dxa"/>
            <w:vAlign w:val="bottom"/>
          </w:tcPr>
          <w:p>
            <w:pPr>
              <w:spacing w:after="0"/>
              <w:rPr>
                <w:sz w:val="15"/>
                <w:szCs w:val="15"/>
                <w:color w:val="auto"/>
              </w:rPr>
            </w:pPr>
          </w:p>
        </w:tc>
        <w:tc>
          <w:tcPr>
            <w:tcW w:w="1010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 of this registration statement)</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9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300" w:type="dxa"/>
            <w:vAlign w:val="bottom"/>
            <w:tcBorders>
              <w:top w:val="single" w:sz="8" w:color="0000EE"/>
            </w:tcBorders>
          </w:tcPr>
          <w:p>
            <w:pPr>
              <w:spacing w:after="0" w:line="20" w:lineRule="exact"/>
              <w:rPr>
                <w:sz w:val="1"/>
                <w:szCs w:val="1"/>
                <w:color w:val="auto"/>
              </w:rPr>
            </w:pPr>
          </w:p>
        </w:tc>
        <w:tc>
          <w:tcPr>
            <w:tcW w:w="2480" w:type="dxa"/>
            <w:vAlign w:val="bottom"/>
            <w:tcBorders>
              <w:top w:val="single" w:sz="8" w:color="0000EE"/>
            </w:tcBorders>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257"/>
        </w:trPr>
        <w:tc>
          <w:tcPr>
            <w:tcW w:w="1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22"/>
                <w:szCs w:val="22"/>
                <w:color w:val="auto"/>
              </w:rPr>
            </w:pPr>
          </w:p>
        </w:tc>
        <w:tc>
          <w:tcPr>
            <w:tcW w:w="10100" w:type="dxa"/>
            <w:vAlign w:val="bottom"/>
            <w:gridSpan w:val="9"/>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Form T-1 Statement of Eligibility under the Trust Indenture Act of 1939 of the Trustee under the Senior Debt Securities Indenture</w:t>
            </w:r>
            <w:r>
              <w:rPr>
                <w:rFonts w:ascii="Times New Roman" w:cs="Times New Roman" w:eastAsia="Times New Roman" w:hAnsi="Times New Roman"/>
                <w:sz w:val="29"/>
                <w:szCs w:val="29"/>
                <w:color w:val="auto"/>
                <w:vertAlign w:val="superscript"/>
              </w:rPr>
              <w:t>#</w:t>
            </w: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2"/>
                <w:szCs w:val="22"/>
                <w:color w:val="auto"/>
              </w:rPr>
            </w:pPr>
          </w:p>
        </w:tc>
        <w:tc>
          <w:tcPr>
            <w:tcW w:w="10100" w:type="dxa"/>
            <w:vAlign w:val="bottom"/>
            <w:gridSpan w:val="9"/>
          </w:tcPr>
          <w:p>
            <w:pPr>
              <w:spacing w:after="0" w:line="258" w:lineRule="exact"/>
              <w:rPr>
                <w:sz w:val="20"/>
                <w:szCs w:val="20"/>
                <w:color w:val="auto"/>
              </w:rPr>
            </w:pPr>
            <w:r>
              <w:rPr>
                <w:rFonts w:ascii="Times New Roman" w:cs="Times New Roman" w:eastAsia="Times New Roman" w:hAnsi="Times New Roman"/>
                <w:sz w:val="18"/>
                <w:szCs w:val="18"/>
                <w:color w:val="auto"/>
              </w:rPr>
              <w:t>Form T-1 Statement of Eligibility under the Trust Indenture Act of 1939 of the Trustee under the Subordinated Debt Securities Indenture</w:t>
            </w:r>
            <w:r>
              <w:rPr>
                <w:rFonts w:ascii="Times New Roman" w:cs="Times New Roman" w:eastAsia="Times New Roman" w:hAnsi="Times New Roman"/>
                <w:sz w:val="29"/>
                <w:szCs w:val="29"/>
                <w:color w:val="auto"/>
                <w:vertAlign w:val="superscript"/>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140" w:hanging="1132"/>
        <w:spacing w:after="0"/>
        <w:tabs>
          <w:tab w:leader="none" w:pos="11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Filing Fee Table</w:t>
      </w:r>
    </w:p>
    <w:p>
      <w:pPr>
        <w:spacing w:after="0" w:line="205" w:lineRule="exact"/>
        <w:rPr>
          <w:sz w:val="20"/>
          <w:szCs w:val="20"/>
          <w:color w:val="auto"/>
        </w:rPr>
      </w:pPr>
    </w:p>
    <w:p>
      <w:pPr>
        <w:ind w:left="340" w:hanging="332"/>
        <w:spacing w:after="0" w:line="282" w:lineRule="auto"/>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or as an exhibit to a filing with the SEC under Section 13 or 15(d) of the Securities Exchange Act of 1934 and incorporated by reference in connection with the offering of securities to the extent required for any such offering.</w:t>
      </w:r>
    </w:p>
    <w:p>
      <w:pPr>
        <w:spacing w:after="0" w:line="162"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our Registration Statement Filed on Form F-1 on December 23,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previously as exhibits to that certain current report on Form 6-K filed on October 23, 2025 with the SEC.</w:t>
      </w:r>
    </w:p>
    <w:p>
      <w:pPr>
        <w:spacing w:after="0" w:line="225" w:lineRule="exact"/>
        <w:rPr>
          <w:sz w:val="20"/>
          <w:szCs w:val="20"/>
          <w:color w:val="auto"/>
        </w:rPr>
      </w:pPr>
    </w:p>
    <w:p>
      <w:pPr>
        <w:ind w:left="5480" w:right="1540" w:hanging="5472"/>
        <w:spacing w:after="0" w:line="783" w:lineRule="auto"/>
        <w:tabs>
          <w:tab w:leader="none" w:pos="32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in accordance with the requirements of Section 305(b)(2) of the Trust Indenture Act of 1939 and Rule 5b-3 thereunder. 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10 Undertakings</w:t>
      </w:r>
    </w:p>
    <w:p>
      <w:pPr>
        <w:spacing w:after="0" w:line="229"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 of 1933;</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55" w:lineRule="auto"/>
        <w:tabs>
          <w:tab w:leader="none" w:pos="9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88"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(a)(1)(ii) and (a)(1)(iii) of this section do not apply if the information required to be included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post-effective amendment by those paragraphs is contained in reports filed with or furnished to the Securities and Exchange Commission by the registrant pursuant to Section 13 or 15(d) of the Securities Exchange Act of 1934 that are incorporated by reference in the registration statement, or is contained in a form of prospectus filed pursuant to Rule 424(b).</w:t>
      </w:r>
    </w:p>
    <w:p>
      <w:pPr>
        <w:spacing w:after="0" w:line="182" w:lineRule="exact"/>
        <w:rPr>
          <w:sz w:val="20"/>
          <w:szCs w:val="20"/>
          <w:color w:val="auto"/>
        </w:rPr>
      </w:pPr>
    </w:p>
    <w:p>
      <w:pPr>
        <w:jc w:val="both"/>
        <w:ind w:left="660" w:right="20" w:hanging="328"/>
        <w:spacing w:after="0" w:line="266"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under the Securities Act of 1933 to any purchaser: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53" w:lineRule="auto"/>
        <w:tabs>
          <w:tab w:leader="none" w:pos="9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left="660" w:hanging="328"/>
        <w:spacing w:after="0" w:line="258" w:lineRule="auto"/>
        <w:tabs>
          <w:tab w:leader="none" w:pos="6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3"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preliminary prospectus or prospectus of the undersigned registrant relating to the offering required to be filed pursuant to Rule 424;</w:t>
      </w:r>
    </w:p>
    <w:p>
      <w:pPr>
        <w:spacing w:after="0" w:line="22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free writing prospectus relating to the offering prepared by or on behalf of the undersigned registrant or used or referred to by the undersigned registrant;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communication that is an offer in the offering made by the undersigned registrant to the purchaser.</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F-3 and has duly caused this registration statement to be signed on its behalf by the undersigned, thereunto duly authorized, in Singapore on March 26, 2026.</w:t>
      </w:r>
    </w:p>
    <w:p>
      <w:pPr>
        <w:spacing w:after="0" w:line="17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Guanghai Li</w:t>
      </w:r>
    </w:p>
    <w:p>
      <w:pPr>
        <w:spacing w:after="0" w:line="27" w:lineRule="exact"/>
        <w:rPr>
          <w:sz w:val="20"/>
          <w:szCs w:val="20"/>
          <w:color w:val="auto"/>
        </w:rPr>
      </w:pPr>
    </w:p>
    <w:tbl>
      <w:tblPr>
        <w:tblLayout w:type="fixed"/>
        <w:tblInd w:w="7220" w:type="dxa"/>
        <w:tblCellMar>
          <w:top w:w="0" w:type="dxa"/>
          <w:left w:w="0" w:type="dxa"/>
          <w:bottom w:w="0" w:type="dxa"/>
          <w:right w:w="0" w:type="dxa"/>
        </w:tblCellMar>
      </w:tblPr>
      <w:tr>
        <w:trPr>
          <w:trHeight w:val="205"/>
        </w:trPr>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460" w:type="dxa"/>
            <w:vAlign w:val="bottom"/>
            <w:tcBorders>
              <w:top w:val="single" w:sz="8" w:color="auto"/>
            </w:tcBorders>
          </w:tcPr>
          <w:p>
            <w:pPr>
              <w:ind w:left="100"/>
              <w:spacing w:after="0" w:line="205" w:lineRule="exact"/>
              <w:rPr>
                <w:sz w:val="20"/>
                <w:szCs w:val="20"/>
                <w:color w:val="auto"/>
              </w:rPr>
            </w:pPr>
            <w:r>
              <w:rPr>
                <w:rFonts w:ascii="Times New Roman" w:cs="Times New Roman" w:eastAsia="Times New Roman" w:hAnsi="Times New Roman"/>
                <w:sz w:val="18"/>
                <w:szCs w:val="18"/>
                <w:color w:val="auto"/>
              </w:rPr>
              <w:t>Guanghai Li</w:t>
            </w:r>
          </w:p>
        </w:tc>
      </w:t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Director, and</w:t>
            </w:r>
          </w:p>
        </w:tc>
      </w:tr>
      <w:tr>
        <w:trPr>
          <w:trHeight w:val="216"/>
        </w:trPr>
        <w:tc>
          <w:tcPr>
            <w:tcW w:w="560" w:type="dxa"/>
            <w:vAlign w:val="bottom"/>
          </w:tcPr>
          <w:p>
            <w:pPr>
              <w:spacing w:after="0"/>
              <w:rPr>
                <w:sz w:val="18"/>
                <w:szCs w:val="18"/>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560" w:type="dxa"/>
            <w:vAlign w:val="bottom"/>
          </w:tcPr>
          <w:p>
            <w:pPr>
              <w:spacing w:after="0"/>
              <w:rPr>
                <w:sz w:val="20"/>
                <w:szCs w:val="20"/>
                <w:color w:val="auto"/>
              </w:rPr>
            </w:pPr>
          </w:p>
        </w:tc>
        <w:tc>
          <w:tcPr>
            <w:tcW w:w="3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Each person whose signature appears below hereby constitutes and appoints Guanghai Li as his or her true and lawful attorneys-in-fact and agents, with full power of substitution and resubstitution, in his or her name, place and stead, in any and all capacities (including his capacity as a director and/or officer of the registrant), to sign any and all amendments and post-effective amendments and supplements to this registration statement, and including any registration statement for the same offering that is to be effective upon filing pursuant to Rule 462(b) under the U.S. Securities Act of 1933, as amended,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his substitute, may lawfully do or cause to be done by virtue 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U.S. Securities Act of 1933, as amended, this Form F-3 registration statement has been signed by the following persons in the capacities and on the date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1"/>
                <w:szCs w:val="21"/>
                <w:color w:val="auto"/>
              </w:rPr>
            </w:pPr>
          </w:p>
        </w:tc>
        <w:tc>
          <w:tcPr>
            <w:tcW w:w="5500" w:type="dxa"/>
            <w:vAlign w:val="bottom"/>
            <w:tcBorders>
              <w:bottom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41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 Guanghai Li</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Director, and</w:t>
            </w: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3280" w:type="dxa"/>
            <w:vAlign w:val="bottom"/>
            <w:tcBorders>
              <w:bottom w:val="single" w:sz="8" w:color="auto"/>
            </w:tcBorders>
            <w:vMerge w:val="continue"/>
          </w:tcPr>
          <w:p>
            <w:pPr>
              <w:spacing w:after="0"/>
              <w:rPr>
                <w:sz w:val="19"/>
                <w:szCs w:val="19"/>
                <w:color w:val="auto"/>
              </w:rPr>
            </w:pP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 of Directors</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Guanghai Li</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Di Shen</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 and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Di Shen</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5"/>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Geoffrey Bonnycastle</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Accounting and Financial Officer) 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Geoffrey Bonnycastle</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Xiaoma (Sherman) Lu</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Xiaoma (Sherman) Lu</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1"/>
        </w:trPr>
        <w:tc>
          <w:tcPr>
            <w:tcW w:w="3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Xinyue (Jasmine) Geffner</w:t>
            </w:r>
          </w:p>
        </w:tc>
        <w:tc>
          <w:tcPr>
            <w:tcW w:w="5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26, 2026</w:t>
            </w:r>
          </w:p>
        </w:tc>
        <w:tc>
          <w:tcPr>
            <w:tcW w:w="0" w:type="dxa"/>
            <w:vAlign w:val="bottom"/>
          </w:tcPr>
          <w:p>
            <w:pPr>
              <w:spacing w:after="0"/>
              <w:rPr>
                <w:sz w:val="1"/>
                <w:szCs w:val="1"/>
                <w:color w:val="auto"/>
              </w:rPr>
            </w:pP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Xinyue (Jasmine) Geffner</w:t>
            </w:r>
          </w:p>
        </w:tc>
        <w:tc>
          <w:tcPr>
            <w:tcW w:w="1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7"/>
        </w:trPr>
        <w:tc>
          <w:tcPr>
            <w:tcW w:w="3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8"/>
                <w:szCs w:val="18"/>
                <w:color w:val="auto"/>
              </w:rPr>
              <w:t>II-5</w:t>
            </w:r>
          </w:p>
        </w:tc>
        <w:tc>
          <w:tcPr>
            <w:tcW w:w="2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6" w:name="page47"/>
    <w:bookmarkEnd w:id="4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 OF AUTHORIZED REPRESENTATIVE IN THE UNITED STATES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Securities Act of 1933, the undersigned, the duly authorized representative in the United States of the Company has signed this Registration Statement or amendment thereto in San Diego, California on March 26, 2026.</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Helport AI, Inc.</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7"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Tailin Song</w:t>
            </w:r>
          </w:p>
        </w:tc>
      </w:tr>
      <w:tr>
        <w:trPr>
          <w:trHeight w:val="198"/>
        </w:trPr>
        <w:tc>
          <w:tcPr>
            <w:tcW w:w="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8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Tailin Song</w:t>
            </w: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Director of Helport AI, Inc.</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4.7</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7"/>
          <w:szCs w:val="17"/>
          <w:b w:val="1"/>
          <w:bCs w:val="1"/>
          <w:color w:val="auto"/>
        </w:rPr>
        <w:t>HELPORT AI LIMITED</w:t>
      </w:r>
    </w:p>
    <w:p>
      <w:pPr>
        <w:spacing w:after="0" w:line="23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(the “Issuer”)</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Dated as of [●], 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117" w:right="37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7840" w:type="dxa"/>
            <w:vAlign w:val="bottom"/>
          </w:tcPr>
          <w:p>
            <w:pPr>
              <w:ind w:left="2440"/>
              <w:spacing w:after="0"/>
              <w:rPr>
                <w:sz w:val="20"/>
                <w:szCs w:val="20"/>
                <w:color w:val="auto"/>
              </w:rPr>
            </w:pPr>
            <w:r>
              <w:rPr>
                <w:rFonts w:ascii="Times New Roman" w:cs="Times New Roman" w:eastAsia="Times New Roman" w:hAnsi="Times New Roman"/>
                <w:sz w:val="18"/>
                <w:szCs w:val="18"/>
                <w:color w:val="auto"/>
              </w:rPr>
              <w:t>TABLE OF CONTENTS</w:t>
            </w:r>
          </w:p>
        </w:tc>
        <w:tc>
          <w:tcPr>
            <w:tcW w:w="1120" w:type="dxa"/>
            <w:vAlign w:val="bottom"/>
          </w:tcPr>
          <w:p>
            <w:pPr>
              <w:spacing w:after="0"/>
              <w:rPr>
                <w:sz w:val="20"/>
                <w:szCs w:val="20"/>
                <w:color w:val="auto"/>
              </w:rPr>
            </w:pPr>
          </w:p>
        </w:tc>
      </w:tr>
      <w:tr>
        <w:trPr>
          <w:trHeight w:val="439"/>
        </w:trPr>
        <w:tc>
          <w:tcPr>
            <w:tcW w:w="228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78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1.01</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Definitions of Terms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2.01</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2.02</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2.03</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2.04</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2.05</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2.06</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Temporary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2.07</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2.08</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Cancellation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2.09</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Benefits of Indenture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2.10</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Authenticating Agent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2.11</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Global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3.01</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3.02</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Notice of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3.03</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Upon Redemption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3.04</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Sinking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3.05</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3.06</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784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28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4.01</w:t>
            </w:r>
          </w:p>
        </w:tc>
        <w:tc>
          <w:tcPr>
            <w:tcW w:w="7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810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TABLE OF CONTENTS</w:t>
            </w:r>
          </w:p>
        </w:tc>
        <w:tc>
          <w:tcPr>
            <w:tcW w:w="1120" w:type="dxa"/>
            <w:vAlign w:val="bottom"/>
          </w:tcPr>
          <w:p>
            <w:pPr>
              <w:spacing w:after="0"/>
              <w:rPr>
                <w:sz w:val="20"/>
                <w:szCs w:val="20"/>
                <w:color w:val="auto"/>
              </w:rPr>
            </w:pPr>
          </w:p>
        </w:tc>
      </w:tr>
      <w:tr>
        <w:trPr>
          <w:trHeight w:val="439"/>
        </w:trPr>
        <w:tc>
          <w:tcPr>
            <w:tcW w:w="20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4.02</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4.03</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Paying Agents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4.04</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4.05</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5.01</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5.02</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5.03</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Reports by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5.04</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Reports by the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6.01</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Events of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6.02</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6.03</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Application of Moneys or Property Collected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6.04</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Limitation on Suits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6.05</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6.06</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6.07</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Undertaking to Pay Costs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7.01</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7.02</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24</w:t>
            </w:r>
          </w:p>
        </w:tc>
      </w:tr>
      <w:tr>
        <w:trPr>
          <w:trHeight w:val="216"/>
        </w:trPr>
        <w:tc>
          <w:tcPr>
            <w:tcW w:w="20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7.03</w:t>
            </w:r>
          </w:p>
        </w:tc>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804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TABLE OF CONTENTS</w:t>
            </w:r>
          </w:p>
        </w:tc>
        <w:tc>
          <w:tcPr>
            <w:tcW w:w="1120" w:type="dxa"/>
            <w:vAlign w:val="bottom"/>
          </w:tcPr>
          <w:p>
            <w:pPr>
              <w:spacing w:after="0"/>
              <w:rPr>
                <w:sz w:val="20"/>
                <w:szCs w:val="20"/>
                <w:color w:val="auto"/>
              </w:rPr>
            </w:pPr>
          </w:p>
        </w:tc>
      </w:tr>
      <w:tr>
        <w:trPr>
          <w:trHeight w:val="439"/>
        </w:trPr>
        <w:tc>
          <w:tcPr>
            <w:tcW w:w="208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7.04</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May Hold Securities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7.05</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Moneys Held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7.06</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26</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7.07</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7.08</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7.09</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7.10</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28</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7.11</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7.12</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29</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7.13</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7.14</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Notice of Default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8.01</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8.02</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8.03</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Who May be Deemed Owners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8.04</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8.05</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9.01</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9.02</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9.03</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9.04</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208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9.05</w:t>
            </w:r>
          </w:p>
        </w:tc>
        <w:tc>
          <w:tcPr>
            <w:tcW w:w="80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34"/>
        </w:trPr>
        <w:tc>
          <w:tcPr>
            <w:tcW w:w="2120" w:type="dxa"/>
            <w:vAlign w:val="bottom"/>
          </w:tcPr>
          <w:p>
            <w:pPr>
              <w:spacing w:after="0"/>
              <w:rPr>
                <w:sz w:val="20"/>
                <w:szCs w:val="20"/>
                <w:color w:val="auto"/>
              </w:rPr>
            </w:pPr>
          </w:p>
        </w:tc>
        <w:tc>
          <w:tcPr>
            <w:tcW w:w="8000" w:type="dxa"/>
            <w:vAlign w:val="bottom"/>
          </w:tcPr>
          <w:p>
            <w:pPr>
              <w:ind w:left="2600"/>
              <w:spacing w:after="0"/>
              <w:rPr>
                <w:sz w:val="20"/>
                <w:szCs w:val="20"/>
                <w:color w:val="auto"/>
              </w:rPr>
            </w:pPr>
            <w:r>
              <w:rPr>
                <w:rFonts w:ascii="Times New Roman" w:cs="Times New Roman" w:eastAsia="Times New Roman" w:hAnsi="Times New Roman"/>
                <w:sz w:val="18"/>
                <w:szCs w:val="18"/>
                <w:color w:val="auto"/>
              </w:rPr>
              <w:t>TABLE OF CONTENTS</w:t>
            </w:r>
          </w:p>
        </w:tc>
        <w:tc>
          <w:tcPr>
            <w:tcW w:w="1120" w:type="dxa"/>
            <w:vAlign w:val="bottom"/>
          </w:tcPr>
          <w:p>
            <w:pPr>
              <w:spacing w:after="0"/>
              <w:rPr>
                <w:sz w:val="20"/>
                <w:szCs w:val="20"/>
                <w:color w:val="auto"/>
              </w:rPr>
            </w:pPr>
          </w:p>
        </w:tc>
      </w:tr>
      <w:tr>
        <w:trPr>
          <w:trHeight w:val="439"/>
        </w:trPr>
        <w:tc>
          <w:tcPr>
            <w:tcW w:w="21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10.01</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10.02</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10.03</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11.01</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11.02</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Discharge of Obligations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11.03</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11.04</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11.05</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Repayment to Company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IMMUNITY OF INCORPORATORS, SHAREHOLDERS, OFFICERS AND DIRECTORS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12.01</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 Recourse</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10120" w:type="dxa"/>
            <w:vAlign w:val="bottom"/>
            <w:gridSpan w:val="2"/>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0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13.01</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13.02</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Actions by Successor</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13.03</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13.04</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Notices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13.05</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Governing Law</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13.06</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13.07</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13.08</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13.09</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13.10</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Indenture and Securities Solely Corporate Obligations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13.11</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Counterparts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13.12</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Separability</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r>
        <w:trPr>
          <w:trHeight w:val="216"/>
        </w:trPr>
        <w:tc>
          <w:tcPr>
            <w:tcW w:w="21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Section 13.13</w:t>
            </w:r>
          </w:p>
        </w:tc>
        <w:tc>
          <w:tcPr>
            <w:tcW w:w="80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Compliance Certificates</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r>
    </w:tbl>
    <w:p>
      <w:pPr>
        <w:spacing w:after="0" w:line="198"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 20[●], among Helport AI Limited, a British Virgin Islands company (the “Company”), and [TRUSTEE], as trustee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of this Indenture;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for the equal and ratable benefit of the holders of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of such Board.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any director of the Company to have been duly adopted by the Board of Directors and to be in full force and effect on the date of such certification.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Helport AI Limited, a British Virgin Islands company, and, subject to the provisions of Article Ten, shall also include its successors and assigns.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any event, act or condition that with notice or lapse of time, or both, would constitute an Event of Default.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two Officers. Each such certificate shall include the statements provided for in Section 13.07, if and to the extent required by the provisions thereof.</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the debt Securities authenticated and delivered under this Indenture.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shall be registered on the books of the Company kept for that purpose in accordance with the terms of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[TRUSTEE],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p>
    <w:p>
      <w:pPr>
        <w:spacing w:after="0" w:line="229" w:lineRule="exact"/>
        <w:rPr>
          <w:sz w:val="20"/>
          <w:szCs w:val="20"/>
          <w:color w:val="auto"/>
        </w:rPr>
      </w:pPr>
    </w:p>
    <w:p>
      <w:pPr>
        <w:jc w:val="both"/>
        <w:ind w:firstLine="656"/>
        <w:spacing w:after="0" w:line="261" w:lineRule="auto"/>
        <w:tabs>
          <w:tab w:leader="none" w:pos="90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82" w:lineRule="auto"/>
        <w:tabs>
          <w:tab w:leader="none" w:pos="156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161"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4"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51"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578"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7" w:name="page58"/>
    <w:bookmarkEnd w:id="57"/>
    <w:p>
      <w:pPr>
        <w:ind w:left="1560" w:hanging="256"/>
        <w:spacing w:after="0"/>
        <w:tabs>
          <w:tab w:leader="none" w:pos="15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64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4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9" w:lineRule="exact"/>
        <w:rPr>
          <w:rFonts w:ascii="Times New Roman" w:cs="Times New Roman" w:eastAsia="Times New Roman" w:hAnsi="Times New Roman"/>
          <w:sz w:val="18"/>
          <w:szCs w:val="18"/>
          <w:b w:val="1"/>
          <w:bCs w:val="1"/>
          <w:color w:val="auto"/>
        </w:rPr>
      </w:pPr>
    </w:p>
    <w:p>
      <w:pPr>
        <w:ind w:left="1660" w:hanging="356"/>
        <w:spacing w:after="0"/>
        <w:tabs>
          <w:tab w:leader="none" w:pos="1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are issuable as a Global Security and, in such case, the terms and the identity of the Depositary for such</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b w:val="1"/>
          <w:bCs w:val="1"/>
          <w:color w:val="auto"/>
        </w:rPr>
      </w:pPr>
    </w:p>
    <w:p>
      <w:pPr>
        <w:jc w:val="both"/>
        <w:ind w:firstLine="1304"/>
        <w:spacing w:after="0" w:line="261" w:lineRule="auto"/>
        <w:tabs>
          <w:tab w:leader="none" w:pos="164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the Securities will be convertible into or exchangeable for ordinary shares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641"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55" w:lineRule="auto"/>
        <w:tabs>
          <w:tab w:leader="none" w:pos="1654"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shareholders and affiliates; issue or sell shares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w:t>
      </w:r>
    </w:p>
    <w:p>
      <w:pPr>
        <w:spacing w:after="0" w:line="188" w:lineRule="exact"/>
        <w:rPr>
          <w:rFonts w:ascii="Times New Roman" w:cs="Times New Roman" w:eastAsia="Times New Roman" w:hAnsi="Times New Roman"/>
          <w:sz w:val="18"/>
          <w:szCs w:val="18"/>
          <w:b w:val="1"/>
          <w:bCs w:val="1"/>
          <w:color w:val="auto"/>
        </w:rPr>
      </w:pPr>
    </w:p>
    <w:p>
      <w:pPr>
        <w:ind w:left="1640" w:hanging="336"/>
        <w:spacing w:after="0"/>
        <w:tabs>
          <w:tab w:leader="none" w:pos="1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other than dollars, the coin or currency in which the Securities of the series are denominated (including, but not limited to, foreign</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currency);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ind w:right="20" w:firstLine="1304"/>
        <w:spacing w:after="0" w:line="282" w:lineRule="auto"/>
        <w:tabs>
          <w:tab w:leader="none" w:pos="1641"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 and</w:t>
      </w:r>
    </w:p>
    <w:p>
      <w:pPr>
        <w:spacing w:after="0" w:line="161" w:lineRule="exact"/>
        <w:rPr>
          <w:rFonts w:ascii="Times New Roman" w:cs="Times New Roman" w:eastAsia="Times New Roman" w:hAnsi="Times New Roman"/>
          <w:sz w:val="18"/>
          <w:szCs w:val="18"/>
          <w:b w:val="1"/>
          <w:bCs w:val="1"/>
          <w:color w:val="auto"/>
        </w:rPr>
      </w:pPr>
    </w:p>
    <w:p>
      <w:pPr>
        <w:ind w:left="1640" w:hanging="336"/>
        <w:spacing w:after="0"/>
        <w:tabs>
          <w:tab w:leader="none" w:pos="1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restrictions on transfer, sale or assignment of the Securities of the series.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2.01(a)(10). The Securities of a particular series shall bear interest payable on the dates and at the rate specified with respect to that series. Subject to Section 2.01(a)(16),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9" w:name="page60"/>
    <w:bookmarkEnd w:id="59"/>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1304"/>
        <w:spacing w:after="0" w:line="253" w:lineRule="auto"/>
        <w:tabs>
          <w:tab w:leader="none" w:pos="1564"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1"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Directors. Signatures may be in the form of a manual or facsimile signature.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p>
    <w:p>
      <w:pPr>
        <w:spacing w:after="0" w:line="229" w:lineRule="exact"/>
        <w:rPr>
          <w:sz w:val="20"/>
          <w:szCs w:val="20"/>
          <w:color w:val="auto"/>
        </w:rPr>
      </w:pPr>
    </w:p>
    <w:p>
      <w:pPr>
        <w:jc w:val="both"/>
        <w:ind w:firstLine="656"/>
        <w:spacing w:after="0" w:line="256" w:lineRule="auto"/>
        <w:tabs>
          <w:tab w:leader="none" w:pos="90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3"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656"/>
        <w:spacing w:after="0" w:line="261" w:lineRule="auto"/>
        <w:tabs>
          <w:tab w:leader="none" w:pos="892"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3"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2.08 Cancellation.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p>
    <w:p>
      <w:pPr>
        <w:spacing w:after="0" w:line="229" w:lineRule="exact"/>
        <w:rPr>
          <w:sz w:val="20"/>
          <w:szCs w:val="20"/>
          <w:color w:val="auto"/>
        </w:rPr>
      </w:pPr>
    </w:p>
    <w:p>
      <w:pPr>
        <w:jc w:val="both"/>
        <w:ind w:firstLine="656"/>
        <w:spacing w:after="0" w:line="256" w:lineRule="auto"/>
        <w:tabs>
          <w:tab w:leader="none" w:pos="90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3"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892"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Redemption.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p>
    <w:p>
      <w:pPr>
        <w:spacing w:after="0" w:line="229" w:lineRule="exact"/>
        <w:rPr>
          <w:sz w:val="20"/>
          <w:szCs w:val="20"/>
          <w:color w:val="auto"/>
        </w:rPr>
      </w:pPr>
    </w:p>
    <w:p>
      <w:pPr>
        <w:jc w:val="both"/>
        <w:ind w:firstLine="656"/>
        <w:spacing w:after="0" w:line="253" w:lineRule="auto"/>
        <w:tabs>
          <w:tab w:leader="none" w:pos="916"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part shall specify the particular Securities to be so redeemed.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656"/>
        <w:spacing w:after="0" w:line="253" w:lineRule="auto"/>
        <w:tabs>
          <w:tab w:leader="none" w:pos="913"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p>
    <w:p>
      <w:pPr>
        <w:spacing w:after="0" w:line="229" w:lineRule="exact"/>
        <w:rPr>
          <w:sz w:val="20"/>
          <w:szCs w:val="20"/>
          <w:color w:val="auto"/>
        </w:rPr>
      </w:pPr>
    </w:p>
    <w:p>
      <w:pPr>
        <w:jc w:val="both"/>
        <w:ind w:firstLine="656"/>
        <w:spacing w:after="0" w:line="254" w:lineRule="auto"/>
        <w:tabs>
          <w:tab w:leader="none" w:pos="903"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3.04 Sinking Fund.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4.03 Paying Agents.</w:t>
      </w:r>
    </w:p>
    <w:p>
      <w:pPr>
        <w:spacing w:after="0" w:line="229" w:lineRule="exact"/>
        <w:rPr>
          <w:sz w:val="20"/>
          <w:szCs w:val="20"/>
          <w:color w:val="auto"/>
        </w:rPr>
      </w:pPr>
    </w:p>
    <w:p>
      <w:pPr>
        <w:jc w:val="both"/>
        <w:ind w:firstLine="656"/>
        <w:spacing w:after="0" w:line="266" w:lineRule="auto"/>
        <w:tabs>
          <w:tab w:leader="none" w:pos="903"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1"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b w:val="1"/>
          <w:bCs w:val="1"/>
          <w:color w:val="auto"/>
        </w:rPr>
      </w:pPr>
    </w:p>
    <w:p>
      <w:pPr>
        <w:ind w:right="20" w:firstLine="1304"/>
        <w:spacing w:after="0" w:line="282" w:lineRule="auto"/>
        <w:tabs>
          <w:tab w:leader="none" w:pos="1551"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b w:val="1"/>
          <w:bCs w:val="1"/>
          <w:color w:val="auto"/>
        </w:rPr>
      </w:pPr>
    </w:p>
    <w:p>
      <w:pPr>
        <w:ind w:firstLine="1304"/>
        <w:spacing w:after="0" w:line="282" w:lineRule="auto"/>
        <w:tabs>
          <w:tab w:leader="none" w:pos="1564"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b w:val="1"/>
          <w:bCs w:val="1"/>
          <w:color w:val="auto"/>
        </w:rPr>
      </w:pPr>
    </w:p>
    <w:p>
      <w:pPr>
        <w:ind w:left="1560" w:hanging="256"/>
        <w:spacing w:after="0"/>
        <w:tabs>
          <w:tab w:leader="none" w:pos="1560" w:val="left"/>
        </w:tabs>
        <w:numPr>
          <w:ilvl w:val="1"/>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jc w:val="both"/>
        <w:ind w:firstLine="656"/>
        <w:spacing w:after="0" w:line="254" w:lineRule="auto"/>
        <w:tabs>
          <w:tab w:leader="none" w:pos="913"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06"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4.05 Compliance with Consolidation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p>
    <w:p>
      <w:pPr>
        <w:spacing w:after="0" w:line="229" w:lineRule="exact"/>
        <w:rPr>
          <w:sz w:val="20"/>
          <w:szCs w:val="20"/>
          <w:color w:val="auto"/>
        </w:rPr>
      </w:pPr>
    </w:p>
    <w:p>
      <w:pPr>
        <w:jc w:val="both"/>
        <w:ind w:firstLine="656"/>
        <w:spacing w:after="0" w:line="266" w:lineRule="auto"/>
        <w:tabs>
          <w:tab w:leader="none" w:pos="903"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6"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covenants and agrees to provide a copy to the Trustee, after the Company files the same with the U.S. Securities and Exchange Commission, copies of the annual reports and of the information, documents and other reports (or copies of such portions of any of the foregoing as the U.S. Securities and Exchange Commission may from time to time by rules and regulations prescribe) that the Company files with the U.S. Securities and Exchange Commission pursuant to Section 13 or Section 15(d) of the Exchange Act; provided, however, the Company shall not be required to deliver to the Trustee any materials for which the Company has sought and received confidential treatment by the SEC. The Company shall also comply with the requirements of Section 314 of the Trust Indenture Act, but only to the extent then applicable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p>
    <w:p>
      <w:pPr>
        <w:spacing w:after="0" w:line="229" w:lineRule="exact"/>
        <w:rPr>
          <w:sz w:val="20"/>
          <w:szCs w:val="20"/>
          <w:color w:val="auto"/>
        </w:rPr>
      </w:pPr>
    </w:p>
    <w:p>
      <w:pPr>
        <w:jc w:val="both"/>
        <w:ind w:firstLine="656"/>
        <w:spacing w:after="0" w:line="266" w:lineRule="auto"/>
        <w:tabs>
          <w:tab w:leader="none" w:pos="903"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or before July 1 in each year in which any of the Securities are Outstanding, the Trustee shall transmit by mail, first class postage prepaid, to the Securityholders, as their names and addresses appear upon the Security Register, a brief report dated as of the preceding May 1, if and to the extent required under Section 313(a) of the Trust Indenture Act.</w:t>
      </w:r>
    </w:p>
    <w:p>
      <w:pPr>
        <w:spacing w:after="0" w:line="17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6"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U.S. Securities and Exchange Commission. The Company agrees to notify the Trustee when any Securities become listed on any securities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229" w:lineRule="exact"/>
        <w:rPr>
          <w:sz w:val="20"/>
          <w:szCs w:val="20"/>
          <w:color w:val="auto"/>
        </w:rPr>
      </w:pPr>
    </w:p>
    <w:p>
      <w:pPr>
        <w:ind w:firstLine="656"/>
        <w:spacing w:after="0" w:line="282" w:lineRule="auto"/>
        <w:tabs>
          <w:tab w:leader="none" w:pos="903"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1"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64" w:val="left"/>
        </w:tabs>
        <w:numPr>
          <w:ilvl w:val="1"/>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0" w:name="page71"/>
    <w:bookmarkEnd w:id="70"/>
    <w:p>
      <w:pPr>
        <w:jc w:val="both"/>
        <w:ind w:firstLine="1304"/>
        <w:spacing w:after="0" w:line="261" w:lineRule="auto"/>
        <w:tabs>
          <w:tab w:leader="none" w:pos="1551"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79" w:lineRule="exact"/>
        <w:rPr>
          <w:rFonts w:ascii="Times New Roman" w:cs="Times New Roman" w:eastAsia="Times New Roman" w:hAnsi="Times New Roman"/>
          <w:sz w:val="18"/>
          <w:szCs w:val="18"/>
          <w:b w:val="1"/>
          <w:bCs w:val="1"/>
          <w:color w:val="auto"/>
        </w:rPr>
      </w:pPr>
    </w:p>
    <w:p>
      <w:pPr>
        <w:jc w:val="both"/>
        <w:ind w:firstLine="1304"/>
        <w:spacing w:after="0" w:line="256" w:lineRule="auto"/>
        <w:tabs>
          <w:tab w:leader="none" w:pos="157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51"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b w:val="1"/>
          <w:bCs w:val="1"/>
          <w:color w:val="auto"/>
        </w:rPr>
      </w:pPr>
    </w:p>
    <w:p>
      <w:pPr>
        <w:jc w:val="both"/>
        <w:ind w:firstLine="1304"/>
        <w:spacing w:after="0" w:line="266" w:lineRule="auto"/>
        <w:tabs>
          <w:tab w:leader="none" w:pos="1578"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940" w:val="left"/>
        </w:tabs>
        <w:numPr>
          <w:ilvl w:val="0"/>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jc w:val="both"/>
        <w:ind w:firstLine="656"/>
        <w:spacing w:after="0" w:line="253" w:lineRule="auto"/>
        <w:tabs>
          <w:tab w:leader="none" w:pos="892"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656"/>
        <w:spacing w:after="0" w:line="258" w:lineRule="auto"/>
        <w:tabs>
          <w:tab w:leader="none" w:pos="913"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p>
    <w:p>
      <w:pPr>
        <w:spacing w:after="0" w:line="229" w:lineRule="exact"/>
        <w:rPr>
          <w:sz w:val="20"/>
          <w:szCs w:val="20"/>
          <w:color w:val="auto"/>
        </w:rPr>
      </w:pPr>
    </w:p>
    <w:p>
      <w:pPr>
        <w:jc w:val="both"/>
        <w:ind w:firstLine="656"/>
        <w:spacing w:after="0" w:line="254" w:lineRule="auto"/>
        <w:tabs>
          <w:tab w:leader="none" w:pos="90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13"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2" w:name="page73"/>
    <w:bookmarkEnd w:id="72"/>
    <w:p>
      <w:pPr>
        <w:jc w:val="both"/>
        <w:ind w:firstLine="656"/>
        <w:spacing w:after="0" w:line="254" w:lineRule="auto"/>
        <w:tabs>
          <w:tab w:leader="none" w:pos="946"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13" w:val="left"/>
        </w:tabs>
        <w:numPr>
          <w:ilvl w:val="0"/>
          <w:numId w:val="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Section 6.03 Application of Moneys or Property Collected.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7.06;</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SECOND: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 To the payment of the remainder, if any, to the Company or any other Person lawfully entitled thereto as requested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p>
    <w:p>
      <w:pPr>
        <w:spacing w:after="0" w:line="229" w:lineRule="exact"/>
        <w:rPr>
          <w:sz w:val="20"/>
          <w:szCs w:val="20"/>
          <w:color w:val="auto"/>
        </w:rPr>
      </w:pPr>
    </w:p>
    <w:p>
      <w:pPr>
        <w:jc w:val="both"/>
        <w:ind w:firstLine="656"/>
        <w:spacing w:after="0" w:line="261" w:lineRule="auto"/>
        <w:tabs>
          <w:tab w:leader="none" w:pos="903"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913"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p>
    <w:p>
      <w:pPr>
        <w:spacing w:after="0" w:line="229" w:lineRule="exact"/>
        <w:rPr>
          <w:sz w:val="20"/>
          <w:szCs w:val="20"/>
          <w:color w:val="auto"/>
        </w:rPr>
      </w:pPr>
    </w:p>
    <w:p>
      <w:pPr>
        <w:jc w:val="both"/>
        <w:ind w:firstLine="656"/>
        <w:spacing w:after="0" w:line="256" w:lineRule="auto"/>
        <w:tabs>
          <w:tab w:leader="none" w:pos="90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0"/>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2834"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1" w:lineRule="exact"/>
        <w:rPr>
          <w:rFonts w:ascii="Times New Roman" w:cs="Times New Roman" w:eastAsia="Times New Roman" w:hAnsi="Times New Roman"/>
          <w:sz w:val="18"/>
          <w:szCs w:val="18"/>
          <w:b w:val="1"/>
          <w:bCs w:val="1"/>
          <w:color w:val="auto"/>
        </w:rPr>
      </w:pPr>
    </w:p>
    <w:p>
      <w:pPr>
        <w:jc w:val="both"/>
        <w:ind w:firstLine="1952"/>
        <w:spacing w:after="0" w:line="261" w:lineRule="auto"/>
        <w:tabs>
          <w:tab w:leader="none" w:pos="2252"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9" w:lineRule="exact"/>
        <w:rPr>
          <w:rFonts w:ascii="Times New Roman" w:cs="Times New Roman" w:eastAsia="Times New Roman" w:hAnsi="Times New Roman"/>
          <w:sz w:val="18"/>
          <w:szCs w:val="18"/>
          <w:b w:val="1"/>
          <w:bCs w:val="1"/>
          <w:color w:val="auto"/>
        </w:rPr>
      </w:pPr>
    </w:p>
    <w:p>
      <w:pPr>
        <w:jc w:val="both"/>
        <w:ind w:firstLine="1952"/>
        <w:spacing w:after="0" w:line="258" w:lineRule="auto"/>
        <w:tabs>
          <w:tab w:leader="none" w:pos="2256"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83"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2857" w:val="left"/>
        </w:tabs>
        <w:numPr>
          <w:ilvl w:val="2"/>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b w:val="1"/>
          <w:bCs w:val="1"/>
          <w:color w:val="auto"/>
        </w:rPr>
      </w:pPr>
    </w:p>
    <w:p>
      <w:pPr>
        <w:jc w:val="both"/>
        <w:ind w:firstLine="2600"/>
        <w:spacing w:after="0" w:line="261" w:lineRule="auto"/>
        <w:tabs>
          <w:tab w:leader="none" w:pos="2934" w:val="left"/>
        </w:tabs>
        <w:numPr>
          <w:ilvl w:val="2"/>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b w:val="1"/>
          <w:bCs w:val="1"/>
          <w:color w:val="auto"/>
        </w:rPr>
      </w:pPr>
    </w:p>
    <w:p>
      <w:pPr>
        <w:jc w:val="both"/>
        <w:ind w:firstLine="2600"/>
        <w:spacing w:after="0" w:line="261" w:lineRule="auto"/>
        <w:tabs>
          <w:tab w:leader="none" w:pos="2910" w:val="left"/>
        </w:tabs>
        <w:numPr>
          <w:ilvl w:val="2"/>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firstLine="656"/>
        <w:spacing w:after="0" w:line="266" w:lineRule="auto"/>
        <w:tabs>
          <w:tab w:leader="none" w:pos="93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both"/>
        <w:ind w:firstLine="656"/>
        <w:spacing w:after="0" w:line="266" w:lineRule="auto"/>
        <w:tabs>
          <w:tab w:leader="none" w:pos="94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3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1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892"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55" w:lineRule="auto"/>
        <w:tabs>
          <w:tab w:leader="none" w:pos="873"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88"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16"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except (1) any Event of Default occurring pursuant to Sections 6.01(a)(1), 6.01(a)(2)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p>
    <w:p>
      <w:pPr>
        <w:spacing w:after="0" w:line="229" w:lineRule="exact"/>
        <w:rPr>
          <w:sz w:val="20"/>
          <w:szCs w:val="20"/>
          <w:color w:val="auto"/>
        </w:rPr>
      </w:pPr>
    </w:p>
    <w:p>
      <w:pPr>
        <w:ind w:right="20" w:firstLine="656"/>
        <w:spacing w:after="0" w:line="282" w:lineRule="auto"/>
        <w:tabs>
          <w:tab w:leader="none" w:pos="903"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892"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p>
    <w:p>
      <w:pPr>
        <w:spacing w:after="0" w:line="229" w:lineRule="exact"/>
        <w:rPr>
          <w:sz w:val="20"/>
          <w:szCs w:val="20"/>
          <w:color w:val="auto"/>
        </w:rPr>
      </w:pPr>
    </w:p>
    <w:p>
      <w:pPr>
        <w:jc w:val="both"/>
        <w:ind w:firstLine="656"/>
        <w:spacing w:after="0" w:line="253" w:lineRule="auto"/>
        <w:tabs>
          <w:tab w:leader="none" w:pos="903"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8" w:name="page79"/>
    <w:bookmarkEnd w:id="78"/>
    <w:p>
      <w:pPr>
        <w:jc w:val="both"/>
        <w:ind w:firstLine="656"/>
        <w:spacing w:after="0" w:line="261" w:lineRule="auto"/>
        <w:tabs>
          <w:tab w:leader="none" w:pos="94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7.07 Reliance on Officers’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U.S.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p>
    <w:p>
      <w:pPr>
        <w:spacing w:after="0" w:line="229" w:lineRule="exact"/>
        <w:rPr>
          <w:sz w:val="20"/>
          <w:szCs w:val="20"/>
          <w:color w:val="auto"/>
        </w:rPr>
      </w:pPr>
    </w:p>
    <w:p>
      <w:pPr>
        <w:jc w:val="both"/>
        <w:ind w:firstLine="656"/>
        <w:spacing w:after="0" w:line="266" w:lineRule="auto"/>
        <w:tabs>
          <w:tab w:leader="none" w:pos="903"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9" w:lineRule="exact"/>
        <w:rPr>
          <w:sz w:val="20"/>
          <w:szCs w:val="20"/>
          <w:color w:val="auto"/>
        </w:rPr>
      </w:pPr>
    </w:p>
    <w:p>
      <w:pPr>
        <w:ind w:left="920" w:hanging="264"/>
        <w:spacing w:after="0"/>
        <w:tabs>
          <w:tab w:leader="none" w:pos="92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280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b w:val="1"/>
          <w:bCs w:val="1"/>
          <w:color w:val="auto"/>
        </w:rPr>
      </w:pPr>
    </w:p>
    <w:p>
      <w:pPr>
        <w:ind w:firstLine="2600"/>
        <w:spacing w:after="0" w:line="282" w:lineRule="auto"/>
        <w:tabs>
          <w:tab w:leader="none" w:pos="285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b w:val="1"/>
          <w:bCs w:val="1"/>
          <w:color w:val="auto"/>
        </w:rPr>
      </w:pPr>
    </w:p>
    <w:p>
      <w:pPr>
        <w:jc w:val="both"/>
        <w:ind w:firstLine="2600"/>
        <w:spacing w:after="0" w:line="254" w:lineRule="auto"/>
        <w:tabs>
          <w:tab w:leader="none" w:pos="2934"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9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13"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92"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p>
    <w:p>
      <w:pPr>
        <w:spacing w:after="0" w:line="229" w:lineRule="exact"/>
        <w:rPr>
          <w:sz w:val="20"/>
          <w:szCs w:val="20"/>
          <w:color w:val="auto"/>
        </w:rPr>
      </w:pPr>
    </w:p>
    <w:p>
      <w:pPr>
        <w:jc w:val="both"/>
        <w:ind w:firstLine="656"/>
        <w:spacing w:after="0" w:line="256" w:lineRule="auto"/>
        <w:tabs>
          <w:tab w:leader="none" w:pos="91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2" w:lineRule="auto"/>
        <w:tabs>
          <w:tab w:leader="none" w:pos="91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91"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0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913"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61" w:lineRule="auto"/>
        <w:tabs>
          <w:tab w:leader="none" w:pos="892"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and becomes known to the Trustee, unless such Default or Event of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protected in withholding such notice if and so long as the board of directors, the executive committee or a trust committee of directors and/or Responsible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of the Trustee in good faith determine that the withholding of such notice is in the interest of the Securityholders.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920" w:hanging="264"/>
        <w:spacing w:after="0"/>
        <w:tabs>
          <w:tab w:leader="none" w:pos="9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Trustee may require such additional proof of any matter referred to in this Section as it shall deem necessary.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Article Ten;</w:t>
      </w:r>
    </w:p>
    <w:p>
      <w:pPr>
        <w:spacing w:after="0" w:line="225" w:lineRule="exact"/>
        <w:rPr>
          <w:rFonts w:ascii="Times New Roman" w:cs="Times New Roman" w:eastAsia="Times New Roman" w:hAnsi="Times New Roman"/>
          <w:sz w:val="18"/>
          <w:szCs w:val="18"/>
          <w:b w:val="1"/>
          <w:bCs w:val="1"/>
          <w:color w:val="auto"/>
        </w:rPr>
      </w:pPr>
    </w:p>
    <w:p>
      <w:pPr>
        <w:ind w:left="900" w:hanging="244"/>
        <w:spacing w:after="0"/>
        <w:tabs>
          <w:tab w:leader="none" w:pos="9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uncertificated Securities in addition to or in place of certificated Securities and to make all appropriate changes for such purpose;</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58" w:lineRule="auto"/>
        <w:tabs>
          <w:tab w:leader="none" w:pos="926"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933"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b w:val="1"/>
          <w:bCs w:val="1"/>
          <w:color w:val="auto"/>
        </w:rPr>
      </w:pPr>
    </w:p>
    <w:p>
      <w:pPr>
        <w:ind w:left="880" w:hanging="224"/>
        <w:spacing w:after="0"/>
        <w:tabs>
          <w:tab w:leader="none" w:pos="88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3"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b w:val="1"/>
          <w:bCs w:val="1"/>
          <w:color w:val="auto"/>
        </w:rPr>
      </w:pPr>
    </w:p>
    <w:p>
      <w:pPr>
        <w:ind w:left="920" w:hanging="264"/>
        <w:spacing w:after="0"/>
        <w:tabs>
          <w:tab w:leader="none" w:pos="92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b w:val="1"/>
          <w:bCs w:val="1"/>
          <w:color w:val="auto"/>
        </w:rPr>
      </w:pPr>
    </w:p>
    <w:p>
      <w:pPr>
        <w:ind w:firstLine="656"/>
        <w:spacing w:after="0" w:line="282" w:lineRule="auto"/>
        <w:tabs>
          <w:tab w:leader="none" w:pos="863"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comply with any requirements of the U.S. Securities and Exchange Commission or any successor in connection with the qualification of this Indenture under the Trust Indenture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will be entitled to receive and will be fully protected in relying upon an Officers’ Certificate and an Opinion of Counsel stating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2.01 hereof.</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p>
    <w:p>
      <w:pPr>
        <w:spacing w:after="0" w:line="229" w:lineRule="exact"/>
        <w:rPr>
          <w:sz w:val="20"/>
          <w:szCs w:val="20"/>
          <w:color w:val="auto"/>
        </w:rPr>
      </w:pPr>
    </w:p>
    <w:p>
      <w:pPr>
        <w:jc w:val="both"/>
        <w:ind w:firstLine="656"/>
        <w:spacing w:after="0" w:line="258" w:lineRule="auto"/>
        <w:tabs>
          <w:tab w:leader="none" w:pos="90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b w:val="1"/>
          <w:bCs w:val="1"/>
          <w:color w:val="auto"/>
        </w:rPr>
      </w:pPr>
    </w:p>
    <w:p>
      <w:pPr>
        <w:ind w:right="20" w:firstLine="656"/>
        <w:spacing w:after="0" w:line="282" w:lineRule="auto"/>
        <w:tabs>
          <w:tab w:leader="none" w:pos="913"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b w:val="1"/>
          <w:bCs w:val="1"/>
          <w:color w:val="auto"/>
        </w:rPr>
      </w:pPr>
    </w:p>
    <w:p>
      <w:pPr>
        <w:jc w:val="both"/>
        <w:ind w:firstLine="656"/>
        <w:spacing w:after="0" w:line="266" w:lineRule="auto"/>
        <w:tabs>
          <w:tab w:leader="none" w:pos="906"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10.03 Evidence of Consolidation, Etc. to Trustee.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7.05, 7.10 and 11.05 hereof that shall survive until such Securities shall mature and be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 OF INCORPORATORS, SHAREHOLDERS, OFFICERS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12.01 No Recourse.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13.04 Notices.</w:t>
      </w:r>
    </w:p>
    <w:p>
      <w:pPr>
        <w:spacing w:after="0" w:line="2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7"/>
          <w:szCs w:val="17"/>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99 Temasek Boulevard #07-00, Suntec Tower Two, Singapore 038989, with a copy to Hunter Taubman Fischer &amp; Li LLC, 950 Third Avenue, 19</w:t>
      </w:r>
      <w:r>
        <w:rPr>
          <w:rFonts w:ascii="Times New Roman" w:cs="Times New Roman" w:eastAsia="Times New Roman" w:hAnsi="Times New Roman"/>
          <w:sz w:val="28"/>
          <w:szCs w:val="28"/>
          <w:color w:val="auto"/>
          <w:vertAlign w:val="superscript"/>
        </w:rPr>
        <w:t>th</w:t>
      </w:r>
    </w:p>
    <w:p>
      <w:pPr>
        <w:spacing w:after="0" w:line="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Floor, New York, NY 10022, Attn: Ying Li, Esq.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13.05 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p>
    <w:p>
      <w:pPr>
        <w:spacing w:after="0" w:line="229" w:lineRule="exact"/>
        <w:rPr>
          <w:sz w:val="20"/>
          <w:szCs w:val="20"/>
          <w:color w:val="auto"/>
        </w:rPr>
      </w:pPr>
    </w:p>
    <w:p>
      <w:pPr>
        <w:jc w:val="both"/>
        <w:ind w:firstLine="656"/>
        <w:spacing w:after="0" w:line="256" w:lineRule="auto"/>
        <w:tabs>
          <w:tab w:leader="none" w:pos="90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13.13)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913"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t>Section 13.10 Indenture and Securities Solely Corporate Obligations.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premium, if any, or interest on any Securities,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shareholder, employee, agent, officer,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13.11 Counterparts.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13.12 Separability.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13.13 Compliance Certificates.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 compliance certificate stating whether or not the signer knows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13.13, such compliance shall be determined without regard to any period of grace or requirement of notice provided under this Indenture. If the officer of the Company signing such certificate has knowledge of such a Default or Event of Default, the certificate shall describe any such Default or Event of Default and its status.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hereto have caused this Indenture to be duly executed all as of the day and year first above written.</w:t>
      </w:r>
    </w:p>
    <w:p>
      <w:pPr>
        <w:spacing w:after="0" w:line="23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b w:val="1"/>
          <w:bCs w:val="1"/>
          <w:color w:val="auto"/>
        </w:rPr>
        <w:t xml:space="preserve">[TRUSTEE], </w:t>
      </w:r>
      <w:r>
        <w:rPr>
          <w:rFonts w:ascii="Times New Roman" w:cs="Times New Roman" w:eastAsia="Times New Roman" w:hAnsi="Times New Roman"/>
          <w:sz w:val="18"/>
          <w:szCs w:val="18"/>
          <w:color w:val="auto"/>
        </w:rPr>
        <w:t>as Trustee</w:t>
      </w:r>
    </w:p>
    <w:p>
      <w:pPr>
        <w:spacing w:after="0" w:line="22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348865" cy="1714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92" w:name="page93"/>
    <w:bookmarkEnd w:id="92"/>
    <w:tbl>
      <w:tblPr>
        <w:tblLayout w:type="fixed"/>
        <w:tblInd w:w="0" w:type="dxa"/>
        <w:tblCellMar>
          <w:top w:w="0" w:type="dxa"/>
          <w:left w:w="0" w:type="dxa"/>
          <w:bottom w:w="0" w:type="dxa"/>
          <w:right w:w="0" w:type="dxa"/>
        </w:tblCellMar>
      </w:tblP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CROSS-REFERENCE TABLE (1)</w:t>
            </w:r>
          </w:p>
        </w:tc>
        <w:tc>
          <w:tcPr>
            <w:tcW w:w="4260" w:type="dxa"/>
            <w:vAlign w:val="bottom"/>
          </w:tcPr>
          <w:p>
            <w:pPr>
              <w:spacing w:after="0"/>
              <w:rPr>
                <w:sz w:val="20"/>
                <w:szCs w:val="20"/>
                <w:color w:val="auto"/>
              </w:rPr>
            </w:pPr>
          </w:p>
        </w:tc>
      </w:tr>
      <w:tr>
        <w:trPr>
          <w:trHeight w:val="43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310(a)</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7.08</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310(c)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311(a)</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18"/>
                <w:szCs w:val="18"/>
                <w:color w:val="auto"/>
              </w:rPr>
            </w:pP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312(a)</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5.01</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5.02(a)</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312(b)</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5.02(c)</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313(a)</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313(b)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313(c)</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5.04(a)</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5.04(b)</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313(d)</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5.04(c)</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5.03</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13.12</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314(c)</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13.07(a)</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314(d)</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314(e)</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13.07(b)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314(f)</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Inapplicable</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315(a)</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7.01(a)</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315(b)</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7.14</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315(c)</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7.01</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315(d)</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7.01(b)</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18"/>
                <w:szCs w:val="18"/>
                <w:color w:val="auto"/>
              </w:rPr>
            </w:pP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315(e)</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8.04</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316(b)</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6.04</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316(c)</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8.01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317(a)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317(b)</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4.03</w:t>
            </w:r>
          </w:p>
        </w:tc>
      </w:tr>
      <w:tr>
        <w:trPr>
          <w:trHeight w:val="234"/>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318(a)</w:t>
            </w: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13.09</w:t>
            </w:r>
          </w:p>
        </w:tc>
      </w:tr>
    </w:tbl>
    <w:p>
      <w:pPr>
        <w:spacing w:after="0" w:line="179" w:lineRule="exact"/>
        <w:rPr>
          <w:sz w:val="20"/>
          <w:szCs w:val="20"/>
          <w:color w:val="auto"/>
        </w:rPr>
      </w:pPr>
    </w:p>
    <w:p>
      <w:pPr>
        <w:ind w:left="380" w:hanging="318"/>
        <w:spacing w:after="0" w:line="282" w:lineRule="auto"/>
        <w:tabs>
          <w:tab w:leader="none" w:pos="3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4.8</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“Issuer”)</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[TRUSTEE]</w:t>
      </w:r>
    </w:p>
    <w:p>
      <w:pPr>
        <w:spacing w:after="0" w:line="225"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Dated as of [●], 20[●]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431165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94" w:name="page95"/>
    <w:bookmarkEnd w:id="94"/>
    <w:tbl>
      <w:tblPr>
        <w:tblLayout w:type="fixed"/>
        <w:tblInd w:w="0" w:type="dxa"/>
        <w:tblCellMar>
          <w:top w:w="0" w:type="dxa"/>
          <w:left w:w="0" w:type="dxa"/>
          <w:bottom w:w="0" w:type="dxa"/>
          <w:right w:w="0" w:type="dxa"/>
        </w:tblCellMar>
      </w:tblPr>
      <w:tr>
        <w:trPr>
          <w:trHeight w:val="238"/>
        </w:trPr>
        <w:tc>
          <w:tcPr>
            <w:tcW w:w="1460" w:type="dxa"/>
            <w:vAlign w:val="bottom"/>
          </w:tcPr>
          <w:p>
            <w:pPr>
              <w:spacing w:after="0"/>
              <w:rPr>
                <w:sz w:val="20"/>
                <w:szCs w:val="20"/>
                <w:color w:val="auto"/>
              </w:rPr>
            </w:pPr>
          </w:p>
        </w:tc>
        <w:tc>
          <w:tcPr>
            <w:tcW w:w="8260" w:type="dxa"/>
            <w:vAlign w:val="bottom"/>
          </w:tcPr>
          <w:p>
            <w:pPr>
              <w:ind w:left="3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20" w:type="dxa"/>
            <w:vAlign w:val="bottom"/>
          </w:tcPr>
          <w:p>
            <w:pPr>
              <w:spacing w:after="0"/>
              <w:rPr>
                <w:sz w:val="20"/>
                <w:szCs w:val="20"/>
                <w:color w:val="auto"/>
              </w:rPr>
            </w:pP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 DEFINITIONS</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1.01</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Definitions of Terms</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9720" w:type="dxa"/>
            <w:vAlign w:val="bottom"/>
            <w:gridSpan w:val="2"/>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2 ISSUE, DESCRIPTION, TERMS, EXECUTION, REGISTRATION AND EXCHANGE OF SECURITIES</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2.01</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Designation and Terms of Securities</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2.02</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Form of Securities and Trustee’s Certificate</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2.03</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Denominations: Provisions for Payment</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2.04</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2.05</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Registration of Transfer and Exchange</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2.06</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Temporary Securities.</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2.07</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Mutilated, Destroyed, Lost or Stolen Securities</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2.08</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Cancellation</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2.09</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Benefits of Indenture</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10</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2.10</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Authenticating Agent</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2.11</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Securities</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3 REDEMPTION OF SECURITIES AND SINKING FUND PROVISIONS</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3.01</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Redemption</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3.02</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Notice of Redemption</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3.03</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Upon Redemption</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3.04</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Sinking Fund</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3.05</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Satisfaction of Sinking Fund Payments with Securities</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3.06</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Redemption of Securities for Sinking Fund</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9720" w:type="dxa"/>
            <w:vAlign w:val="bottom"/>
            <w:gridSpan w:val="2"/>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9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4 COVENANTS</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4.01</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Payment of Principal, Premium and Interest</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4.02</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4.03</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Paying Agents</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4.04</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Appointment to Fill Vacancy in Office of Trustee</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4.05</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Compliance with Consolidation Provisions</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9720" w:type="dxa"/>
            <w:vAlign w:val="bottom"/>
            <w:gridSpan w:val="2"/>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9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5 SECURITYHOLDERS’ LISTS AND REPORTS BY THE COMPANY AND THE TRUSTEE</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5.01</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Company to Furnish Trustee Names and Addresses of Securityholders</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5.02</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Preservation of Information; Communications with Securityholders</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16</w:t>
            </w:r>
          </w:p>
        </w:tc>
      </w:tr>
      <w:tr>
        <w:trPr>
          <w:trHeight w:val="216"/>
        </w:trPr>
        <w:tc>
          <w:tcPr>
            <w:tcW w:w="1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5.03</w:t>
            </w:r>
          </w:p>
        </w:tc>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Reports by the Company</w:t>
            </w:r>
          </w:p>
        </w:tc>
        <w:tc>
          <w:tcPr>
            <w:tcW w:w="152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9"/>
              </w:rPr>
              <w:t>17</w:t>
            </w:r>
          </w:p>
        </w:tc>
      </w:tr>
      <w:tr>
        <w:trPr>
          <w:trHeight w:val="234"/>
        </w:trPr>
        <w:tc>
          <w:tcPr>
            <w:tcW w:w="1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5.04</w:t>
            </w:r>
          </w:p>
        </w:tc>
        <w:tc>
          <w:tcPr>
            <w:tcW w:w="8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Reports by the Trustee</w:t>
            </w:r>
          </w:p>
        </w:tc>
        <w:tc>
          <w:tcPr>
            <w:tcW w:w="152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9"/>
              </w:rPr>
              <w:t>17</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6 REMEDIES OF THE TRUSTEE AND SECURITYHOLDERS ON EVENT OF DEFAULT</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6.01</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Events of Default</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6.02</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Collection of Indebtedness and Suits for Enforcement by Trustee</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6.03</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Application of Moneys or Property Collected</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6.04</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Limitation on Suits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6.05</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and Remedies Cumulative; Delay or Omission Not Waiver</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6.06</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Control by Securityholders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6.07</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Undertaking to Pay Costs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16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7 CONCERNING THE TRUSTEE</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7.01</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Certain Duties and Responsibilities of Trustee</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7.02</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Certain Rights of Trustee</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7.03</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Trustee Not Responsible for Recitals or Issuance or Securities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7.04</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May Hold Securities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7.05</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Moneys Held in Trust</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7.06</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and Reimbursement</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7.07</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Reliance on Officers’ Certificate</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7.08</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Disqualification; Conflicting Interests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7.09</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Corporate Trustee Required; Eligibility</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7.10</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Resignation and Removal; Appointment of Successor</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7.11</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Acceptance of Appointment by Successor</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7.12</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Merger, Conversion, Consolidation or Succession to Business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7.13</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Preferential Collection of Claims Against the Company</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7.14</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 of Default</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916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8 CONCERNING THE SECURITYHOLDERS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8.01</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Evidence of Action by Securityholders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8.02</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Proof of Execution by Securityholders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8.03</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Who May be Deemed Owners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8.04</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Certain Securities Owned by Company Disregarded</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8.05</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Actions Binding on Future Securityholders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9 SUPPLEMENTAL INDENTURES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9.01</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Supplemental Indentures Without the Consent of Securityholders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9.02</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Supplemental Indentures With Consent of Securityholders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9.03</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9.04</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Securities Affected by Supplemental Indentures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9.05</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Execution of Supplemental Indentures</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9160" w:type="dxa"/>
            <w:vAlign w:val="bottom"/>
            <w:gridSpan w:val="2"/>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r>
      <w:tr>
        <w:trPr>
          <w:trHeight w:val="216"/>
        </w:trPr>
        <w:tc>
          <w:tcPr>
            <w:tcW w:w="9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10 SUCCESSOR ENTITY</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10.01</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Company May Consolidate, Etc</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10.02</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Successor Entity Substituted</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10.03</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Evidence of Consolidation, Etc. to Trustee</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916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r>
      <w:tr>
        <w:trPr>
          <w:trHeight w:val="216"/>
        </w:trPr>
        <w:tc>
          <w:tcPr>
            <w:tcW w:w="9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11 SATISFACTION AND DISCHARGE</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11.01</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11.02</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Discharge of Obligations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11.03</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Deposited Moneys to be Held in Trust</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11.04</w:t>
            </w:r>
          </w:p>
        </w:tc>
        <w:tc>
          <w:tcPr>
            <w:tcW w:w="76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 of Moneys Held by Paying Agents</w:t>
            </w:r>
          </w:p>
        </w:tc>
        <w:tc>
          <w:tcPr>
            <w:tcW w:w="20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11.05</w:t>
            </w:r>
          </w:p>
        </w:tc>
        <w:tc>
          <w:tcPr>
            <w:tcW w:w="76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to Company</w:t>
            </w:r>
          </w:p>
        </w:tc>
        <w:tc>
          <w:tcPr>
            <w:tcW w:w="20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bl>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12 IMMUNITY OF INCORPORATORS, SHAREHOLDERS, OFFICERS AND DIRECTORS</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12.01</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Recourse</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9220" w:type="dxa"/>
            <w:vAlign w:val="bottom"/>
            <w:gridSpan w:val="2"/>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r>
      <w:tr>
        <w:trPr>
          <w:trHeight w:val="216"/>
        </w:trPr>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13 MISCELLANEOUS PROVISIONS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13.01</w:t>
            </w:r>
          </w:p>
        </w:tc>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Effect on Successors and Assigns</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13.02</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Actions by Successor</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13.03</w:t>
            </w:r>
          </w:p>
        </w:tc>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Surrender of Company Powers</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13.04</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13.05</w:t>
            </w:r>
          </w:p>
        </w:tc>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Governing Law</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13.06</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Treatment of Securities as Debt</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13.07</w:t>
            </w:r>
          </w:p>
        </w:tc>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Certificates and Opinions as to Conditions Precedent</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13.08</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on Business Days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13.09</w:t>
            </w:r>
          </w:p>
        </w:tc>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Conflict with Trust Indenture Act</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13.10</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Indenture and Securities Solely Corporate Obligations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13.11</w:t>
            </w:r>
          </w:p>
        </w:tc>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Counterparts</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13.12</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Separability</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Section 13.13</w:t>
            </w:r>
          </w:p>
        </w:tc>
        <w:tc>
          <w:tcPr>
            <w:tcW w:w="77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Compliance Certificates</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9220" w:type="dxa"/>
            <w:vAlign w:val="bottom"/>
            <w:gridSpan w:val="2"/>
          </w:tcPr>
          <w:p>
            <w:pPr>
              <w:spacing w:after="0"/>
              <w:rPr>
                <w:sz w:val="18"/>
                <w:szCs w:val="18"/>
                <w:color w:val="auto"/>
              </w:rPr>
            </w:pPr>
          </w:p>
        </w:tc>
        <w:tc>
          <w:tcPr>
            <w:tcW w:w="2020" w:type="dxa"/>
            <w:vAlign w:val="bottom"/>
          </w:tcPr>
          <w:p>
            <w:pPr>
              <w:spacing w:after="0"/>
              <w:rPr>
                <w:sz w:val="18"/>
                <w:szCs w:val="18"/>
                <w:color w:val="auto"/>
              </w:rPr>
            </w:pPr>
          </w:p>
        </w:tc>
      </w:tr>
      <w:tr>
        <w:trPr>
          <w:trHeight w:val="216"/>
        </w:trPr>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ARTICLE 14 SUBORDINATION OF SECURITIES</w:t>
            </w:r>
          </w:p>
        </w:tc>
        <w:tc>
          <w:tcPr>
            <w:tcW w:w="20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Section 14.01</w:t>
            </w:r>
          </w:p>
        </w:tc>
        <w:tc>
          <w:tcPr>
            <w:tcW w:w="77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Subordination Terms</w:t>
            </w:r>
          </w:p>
        </w:tc>
        <w:tc>
          <w:tcPr>
            <w:tcW w:w="20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38</w:t>
            </w:r>
          </w:p>
        </w:tc>
      </w:tr>
    </w:tbl>
    <w:p>
      <w:pPr>
        <w:spacing w:after="0" w:line="179" w:lineRule="exact"/>
        <w:rPr>
          <w:sz w:val="20"/>
          <w:szCs w:val="20"/>
          <w:color w:val="auto"/>
        </w:rPr>
      </w:pPr>
    </w:p>
    <w:p>
      <w:pPr>
        <w:ind w:left="380" w:hanging="318"/>
        <w:spacing w:after="0"/>
        <w:tabs>
          <w:tab w:leader="none" w:pos="3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Table of Contents does not constitute part of the Indenture and shall not have any bearing on the interpretation of any of its terms or provisions.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20[</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among Helport AI Limited, a British Virgin Islands company (the “Company”), and [TRUSTEE], as trustee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for its lawful corporate purposes, the Company has duly authorized the execution and delivery of this Indenture to provide for the issuance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to provide the terms and conditions upon which the Securities are to be authenticated, issued and delivered, the Company has duly authorized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execution of this Indenture; and</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all things necessary to make this Indenture a valid agreement of the Company, in accordance with its terms, have been done.</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premises and the purchase of the Securities by the holders thereof, it is mutually covenanted and agreed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follows for the equal and ratable benefit of the holders of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1.01 Definitions of Terms.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terms defined in this Section (except as in this Indenture or any indenture supplemental hereto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or any indenture supplemental hereto otherwise expressly provided or unless the context otherwise requires), shall have the meanings assigned to such terms in said Trust Indenture Act and in said Securities Act as in force at the date of the execution of this instrument.</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Authenticating Agent</w:t>
      </w:r>
      <w:r>
        <w:rPr>
          <w:rFonts w:ascii="Times New Roman" w:cs="Times New Roman" w:eastAsia="Times New Roman" w:hAnsi="Times New Roman"/>
          <w:sz w:val="18"/>
          <w:szCs w:val="18"/>
          <w:color w:val="auto"/>
        </w:rPr>
        <w:t>” means an authenticating agent with respect to all or any of the series of Securities appointed by the Trustee pursuant to Section 2.10.</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Bankruptcy Law</w:t>
      </w:r>
      <w:r>
        <w:rPr>
          <w:rFonts w:ascii="Times New Roman" w:cs="Times New Roman" w:eastAsia="Times New Roman" w:hAnsi="Times New Roman"/>
          <w:sz w:val="18"/>
          <w:szCs w:val="18"/>
          <w:color w:val="auto"/>
        </w:rPr>
        <w:t>” means Title 11, U.S. Code, or any similar federal or state law for the relief of debtors.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of Directors</w:t>
      </w:r>
      <w:r>
        <w:rPr>
          <w:rFonts w:ascii="Times New Roman" w:cs="Times New Roman" w:eastAsia="Times New Roman" w:hAnsi="Times New Roman"/>
          <w:sz w:val="18"/>
          <w:szCs w:val="18"/>
          <w:color w:val="auto"/>
        </w:rPr>
        <w:t>” means the Board of Directors of the Company or any duly authorized committee of such Board.</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 Resolution</w:t>
      </w:r>
      <w:r>
        <w:rPr>
          <w:rFonts w:ascii="Times New Roman" w:cs="Times New Roman" w:eastAsia="Times New Roman" w:hAnsi="Times New Roman"/>
          <w:sz w:val="18"/>
          <w:szCs w:val="18"/>
          <w:color w:val="auto"/>
        </w:rPr>
        <w:t>” means a copy of a resolution certified by any director of the Company to have been duly adopted by the Board of Directors and to be in full force and effect on the date of such certification.</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Day</w:t>
      </w:r>
      <w:r>
        <w:rPr>
          <w:rFonts w:ascii="Times New Roman" w:cs="Times New Roman" w:eastAsia="Times New Roman" w:hAnsi="Times New Roman"/>
          <w:sz w:val="18"/>
          <w:szCs w:val="18"/>
          <w:color w:val="auto"/>
        </w:rPr>
        <w:t>” means, with respect to any series of Securities, any day other than a day on which federal or state banking institutions in the Borough of Manhattan, the City of New York, or in the city of the Corporate Trust Office of the Trustee, are authorized or obligated by law, executive order or regulation to close.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Certificate</w:t>
      </w:r>
      <w:r>
        <w:rPr>
          <w:rFonts w:ascii="Times New Roman" w:cs="Times New Roman" w:eastAsia="Times New Roman" w:hAnsi="Times New Roman"/>
          <w:sz w:val="18"/>
          <w:szCs w:val="18"/>
          <w:color w:val="auto"/>
        </w:rPr>
        <w:t>” means a certificate signed by any Officer. The Certificate need not comply with the provisions of Section 13.07.</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Helport AI Limited, a British Virgin Islands company, and, subject to the provisions of Article Ten, shall also include its successors and assigns.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Trust Office</w:t>
      </w:r>
      <w:r>
        <w:rPr>
          <w:rFonts w:ascii="Times New Roman" w:cs="Times New Roman" w:eastAsia="Times New Roman" w:hAnsi="Times New Roman"/>
          <w:sz w:val="18"/>
          <w:szCs w:val="18"/>
          <w:color w:val="auto"/>
        </w:rPr>
        <w:t>” means the office of the Trustee at which, at any particular time, its corporate trust business shall be principally administered, which office at the date hereof is located at [ ].</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Custodian</w:t>
      </w:r>
      <w:r>
        <w:rPr>
          <w:rFonts w:ascii="Times New Roman" w:cs="Times New Roman" w:eastAsia="Times New Roman" w:hAnsi="Times New Roman"/>
          <w:sz w:val="18"/>
          <w:szCs w:val="18"/>
          <w:color w:val="auto"/>
        </w:rPr>
        <w:t>” means any receiver, trustee, assignee, liquidator or similar official under any Bankruptcy Law.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Default</w:t>
      </w:r>
      <w:r>
        <w:rPr>
          <w:rFonts w:ascii="Times New Roman" w:cs="Times New Roman" w:eastAsia="Times New Roman" w:hAnsi="Times New Roman"/>
          <w:sz w:val="18"/>
          <w:szCs w:val="18"/>
          <w:color w:val="auto"/>
        </w:rPr>
        <w:t>” means any event, act or condition that with notice or lapse of time, or both, would constitute an Event of Default.</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Depositary</w:t>
      </w:r>
      <w:r>
        <w:rPr>
          <w:rFonts w:ascii="Times New Roman" w:cs="Times New Roman" w:eastAsia="Times New Roman" w:hAnsi="Times New Roman"/>
          <w:sz w:val="18"/>
          <w:szCs w:val="18"/>
          <w:color w:val="auto"/>
        </w:rPr>
        <w:t>” means, with respect to Securities of any series for which the Company shall determine that such Securities will be issued as a Global Security, The Depository Trust Company, New York, New York, another clearing agency, or any successor registered as a clearing agency under the Securities and Exchange Act of 1934, as amended (the “Exchange Act”), or other applicable statute or regulation, which, in each case, shall be designated by the Company pursuant to either Section 2.01 or 2.11.</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Event of Default</w:t>
      </w:r>
      <w:r>
        <w:rPr>
          <w:rFonts w:ascii="Times New Roman" w:cs="Times New Roman" w:eastAsia="Times New Roman" w:hAnsi="Times New Roman"/>
          <w:sz w:val="18"/>
          <w:szCs w:val="18"/>
          <w:color w:val="auto"/>
        </w:rPr>
        <w:t>” means, with respect to Securities of a particular series, any event specified in Section 6.01, continued for the period of time, if any, therein designated.</w:t>
      </w:r>
    </w:p>
    <w:p>
      <w:pPr>
        <w:spacing w:after="0" w:line="15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Global Security</w:t>
      </w:r>
      <w:r>
        <w:rPr>
          <w:rFonts w:ascii="Times New Roman" w:cs="Times New Roman" w:eastAsia="Times New Roman" w:hAnsi="Times New Roman"/>
          <w:sz w:val="18"/>
          <w:szCs w:val="18"/>
          <w:color w:val="auto"/>
        </w:rPr>
        <w:t>” means, with respect to any series of Securities, a Security executed by the Company and delivered by the Trustee to the Depositary or pursuant to the Depositary’s instruction, all in accordance with the Indenture, which shall be registered in the name of the Depositary or its nominee.</w:t>
      </w:r>
    </w:p>
    <w:p>
      <w:pPr>
        <w:spacing w:after="0" w:line="15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Governmental Obligations</w:t>
      </w:r>
      <w:r>
        <w:rPr>
          <w:rFonts w:ascii="Times New Roman" w:cs="Times New Roman" w:eastAsia="Times New Roman" w:hAnsi="Times New Roman"/>
          <w:sz w:val="18"/>
          <w:szCs w:val="18"/>
          <w:color w:val="auto"/>
        </w:rPr>
        <w:t>” means securities that are (a) direct obligations of the United States of America for the payment of which its full faith and credit is pledged or (b) obligations of a Person controlled or supervised by and acting as an agency or instrumentality of the United States of America, the payment of which is unconditionally guaranteed as a full faith and credit obligation by the United States of America that, in either case, are not callable or redeemable at the option of the issuer thereof at any time prior to the stated maturity of the Securities, and shall also include a depositary receipt issued by a bank or trust company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herein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hereof</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hereunder</w:t>
      </w:r>
      <w:r>
        <w:rPr>
          <w:rFonts w:ascii="Times New Roman" w:cs="Times New Roman" w:eastAsia="Times New Roman" w:hAnsi="Times New Roman"/>
          <w:sz w:val="18"/>
          <w:szCs w:val="18"/>
          <w:color w:val="auto"/>
        </w:rPr>
        <w:t>”, and other words of similar import, refer to this Indenture as a whole and not to any particular Article, Section or other subdivision.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Indenture</w:t>
      </w:r>
      <w:r>
        <w:rPr>
          <w:rFonts w:ascii="Times New Roman" w:cs="Times New Roman" w:eastAsia="Times New Roman" w:hAnsi="Times New Roman"/>
          <w:sz w:val="18"/>
          <w:szCs w:val="18"/>
          <w:color w:val="auto"/>
        </w:rPr>
        <w:t>” means this instrument as originally executed or as it may from time to time be supplemented or amended by one or more indentures supplemental hereto entered into in accordance with the terms hereof.</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99" w:name="page100"/>
    <w:bookmarkEnd w:id="99"/>
    <w:p>
      <w:pPr>
        <w:jc w:val="both"/>
        <w:ind w:right="2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Interest Payment Date</w:t>
      </w:r>
      <w:r>
        <w:rPr>
          <w:rFonts w:ascii="Times New Roman" w:cs="Times New Roman" w:eastAsia="Times New Roman" w:hAnsi="Times New Roman"/>
          <w:sz w:val="18"/>
          <w:szCs w:val="18"/>
          <w:color w:val="auto"/>
        </w:rPr>
        <w:t>”,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with respect to the Company, the chairman of the Board of Directors, a chief executive officer, a president, a chief financial officer, chief operating officer, any executive vice president, any senior vice president, any vice president, the treasurer or any assistant treasurer, the controller or any assistant controller or the secretary or any assistant secretary.</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Officers’ Certificate</w:t>
      </w:r>
      <w:r>
        <w:rPr>
          <w:rFonts w:ascii="Times New Roman" w:cs="Times New Roman" w:eastAsia="Times New Roman" w:hAnsi="Times New Roman"/>
          <w:sz w:val="18"/>
          <w:szCs w:val="18"/>
          <w:color w:val="auto"/>
        </w:rPr>
        <w:t>” means a certificate signed by any two Officers. Each such certificate shall include the statements provided for in Section 13.07, if and to the extent required by the provisions thereof.</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Opinion of Counsel</w:t>
      </w:r>
      <w:r>
        <w:rPr>
          <w:rFonts w:ascii="Times New Roman" w:cs="Times New Roman" w:eastAsia="Times New Roman" w:hAnsi="Times New Roman"/>
          <w:sz w:val="18"/>
          <w:szCs w:val="18"/>
          <w:color w:val="auto"/>
        </w:rPr>
        <w:t>” means an opinion in writing subject to customary exceptions of legal counsel, who may be an employee of or counsel for the Company, that is delivered to the Trustee in accordance with the terms hereof. Each such opinion shall include the statements provided for in Section 13.07, if and to the extent required by the provisions thereof.</w:t>
      </w:r>
    </w:p>
    <w:p>
      <w:pPr>
        <w:spacing w:after="0" w:line="171"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Outstanding</w:t>
      </w:r>
      <w:r>
        <w:rPr>
          <w:rFonts w:ascii="Times New Roman" w:cs="Times New Roman" w:eastAsia="Times New Roman" w:hAnsi="Times New Roman"/>
          <w:sz w:val="17"/>
          <w:szCs w:val="17"/>
          <w:color w:val="auto"/>
        </w:rPr>
        <w:t>”,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Three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means any individual, corporation, partnership, joint venture, joint-stock company, limited liability company, association, trust, unincorporated organization, any other entity or organization, including a government or political subdivision or an agency or instrumentality thereof.</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Predecessor Security</w:t>
      </w:r>
      <w:r>
        <w:rPr>
          <w:rFonts w:ascii="Times New Roman" w:cs="Times New Roman" w:eastAsia="Times New Roman" w:hAnsi="Times New Roman"/>
          <w:sz w:val="18"/>
          <w:szCs w:val="18"/>
          <w:color w:val="auto"/>
        </w:rPr>
        <w:t>” of any particular Security means every previous Security evidencing all or a portion of the same debt as that evidenced by such particular Security; and, for the purposes of this definition, any Security authenticated and delivered under Section 2.07 in lieu of a lost, destroyed or stolen Security shall be deemed to evidence the same debt as the lost, destroyed or stolen Security.</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Responsible Officer</w:t>
      </w:r>
      <w:r>
        <w:rPr>
          <w:rFonts w:ascii="Times New Roman" w:cs="Times New Roman" w:eastAsia="Times New Roman" w:hAnsi="Times New Roman"/>
          <w:sz w:val="18"/>
          <w:szCs w:val="18"/>
          <w:color w:val="auto"/>
        </w:rPr>
        <w:t>” when used with respect to the Trustee means the chairman of its board of directors, the chief executive officer, the president, any vice president, the secretary, the treasurer, any trust officer, any corporate trust officer or any other officer or assistant officer of the Trustee customarily performing functions similar to those performed by the Persons who at the time shall be such officers, respectively, or to whom any corporate trust matter is referred because of his or her knowledge of and familiarity with the particular subject.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w:t>
      </w:r>
      <w:r>
        <w:rPr>
          <w:rFonts w:ascii="Times New Roman" w:cs="Times New Roman" w:eastAsia="Times New Roman" w:hAnsi="Times New Roman"/>
          <w:sz w:val="18"/>
          <w:szCs w:val="18"/>
          <w:color w:val="auto"/>
        </w:rPr>
        <w:t>” means the debt Securities authenticated and delivered under this Indenture.</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0" w:name="page101"/>
    <w:bookmarkEnd w:id="100"/>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holder of Securities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 holder</w:t>
      </w:r>
      <w:r>
        <w:rPr>
          <w:rFonts w:ascii="Times New Roman" w:cs="Times New Roman" w:eastAsia="Times New Roman" w:hAnsi="Times New Roman"/>
          <w:sz w:val="18"/>
          <w:szCs w:val="18"/>
          <w:color w:val="auto"/>
        </w:rPr>
        <w:t>”, or other similar term, means the Person or Persons in whose name or names a particular Security shall be registered on the books of the Company kept for that purpose in accordance with the terms of this Indenture.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Security Register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Security Registrar</w:t>
      </w:r>
      <w:r>
        <w:rPr>
          <w:rFonts w:ascii="Times New Roman" w:cs="Times New Roman" w:eastAsia="Times New Roman" w:hAnsi="Times New Roman"/>
          <w:sz w:val="18"/>
          <w:szCs w:val="18"/>
          <w:color w:val="auto"/>
        </w:rPr>
        <w:t>” shall have the meanings as set forth in Section 2.05.</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Trustee</w:t>
      </w:r>
      <w:r>
        <w:rPr>
          <w:rFonts w:ascii="Times New Roman" w:cs="Times New Roman" w:eastAsia="Times New Roman" w:hAnsi="Times New Roman"/>
          <w:sz w:val="18"/>
          <w:szCs w:val="18"/>
          <w:color w:val="auto"/>
        </w:rPr>
        <w:t>” means [TRUSTEE], and, subject to the provisions of Article Seven, shall also include its successors and assigns, and, if at any time there is more than one Person acting in such capacity hereunder, “Trustee” shall mean each such Person. The term “Trustee” as used with respect to a particular series of the Securities shall mean the trustee with respect to that series.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DESCRIPTION, TERMS, EXECUTION, REGISTRATION AND EXCHANGE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2.01 Designation and Terms of Securities.</w:t>
      </w:r>
    </w:p>
    <w:p>
      <w:pPr>
        <w:spacing w:after="0" w:line="229" w:lineRule="exact"/>
        <w:rPr>
          <w:sz w:val="20"/>
          <w:szCs w:val="20"/>
          <w:color w:val="auto"/>
        </w:rPr>
      </w:pPr>
    </w:p>
    <w:p>
      <w:pPr>
        <w:jc w:val="both"/>
        <w:ind w:firstLine="656"/>
        <w:spacing w:after="0" w:line="261" w:lineRule="auto"/>
        <w:tabs>
          <w:tab w:leader="none" w:pos="8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or pursuant to one or more indentures supplemental hereto. Prior to the initial issuance of Securities of any series, there shall be established in or pursuant to a Board Resolution, and set forth in an Officers’ Certificate, or established in one or more indentures supplemental hereto:</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Securities of the series (which shall distinguish the Securities of that series from all other Securities);</w:t>
      </w:r>
    </w:p>
    <w:p>
      <w:pPr>
        <w:spacing w:after="0" w:line="225" w:lineRule="exact"/>
        <w:rPr>
          <w:rFonts w:ascii="Times New Roman" w:cs="Times New Roman" w:eastAsia="Times New Roman" w:hAnsi="Times New Roman"/>
          <w:sz w:val="18"/>
          <w:szCs w:val="18"/>
          <w:color w:val="auto"/>
        </w:rPr>
      </w:pPr>
    </w:p>
    <w:p>
      <w:pPr>
        <w:jc w:val="both"/>
        <w:ind w:firstLine="1304"/>
        <w:spacing w:after="0" w:line="282" w:lineRule="auto"/>
        <w:tabs>
          <w:tab w:leader="none" w:pos="157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 any original issue discount that may apply to the Securities of that series upon their issuance, the principal amount due at maturity, and the place(s) of payment;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1" w:name="page102"/>
    <w:bookmarkEnd w:id="101"/>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at which the Securities of the series shall bear interest or the manner of calculation of such rate or rates, if any;</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7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manner of determination of such record dates;</w:t>
      </w:r>
    </w:p>
    <w:p>
      <w:pPr>
        <w:spacing w:after="0" w:line="175"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if any, to extend the interest payment periods and the duration of such extension;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5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8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 if any, of the Company to redeem or purchase Securities of the series pursuant to any sinking fund, mandatory redemption,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9"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of the Securities of the series including the form of the Certificate of Authentication for such series;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65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denominations of one thousand U.S. dollars ($1,000) or any integral multiple thereof, the denominations in which the Securities of the series shall be issuable;</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other terms (including terms, to the extent applicable, relating to any auction or remarketing of the Securities of that series and any security for the obligations of the Company with respect to such Securities)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79"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are issuable as a Global Security and, in such case, the terms and the identity of the Depositary for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5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convertible into or exchangeable for ordinary shares or other securities of the Company or any other Person and, if so, the terms and conditions upon which such Securities will be so convertible or exchangeable, including the conversion or exchange price, as applicable, or how it will be calculated and may be adjusted, any mandatory or optional (at the Company’s option or the holders’ option) conversion or exchange features, and the applicable conversion or exchange period;</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64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2" w:name="page103"/>
    <w:bookmarkEnd w:id="102"/>
    <w:p>
      <w:pPr>
        <w:jc w:val="both"/>
        <w:ind w:firstLine="1304"/>
        <w:spacing w:after="0" w:line="255" w:lineRule="auto"/>
        <w:tabs>
          <w:tab w:leader="none" w:pos="165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or different Events of Default or restrictive covenants (which may include, among other restrictions, restrictions on the Company’s ability or the ability of the Company’s Subsidiaries to: incur additional indebtedness; issue additional securities; create liens; pay dividends or make distributions in respect of their capital stock; redeem capital stock; place restrictions on such Subsidiaries placing restrictions on their ability to pay dividends, make distributions or transfer assets; make investments or other restricted payments; sell or otherwise dispose of assets; enter into sale-leaseback transactions; engage in transactions with shareholders and affiliates; issue or sell shares of their Subsidiaries; or effect a consolidation or merger) or financial covenants (which may include, among other financial covenants, financial covenants that require the Company and its Subsidiaries to maintain specified interest coverage, fixed charge, cash flow-based or asset-based ratios) provided for with respect to the Securities of the series;</w:t>
      </w:r>
    </w:p>
    <w:p>
      <w:pPr>
        <w:spacing w:after="0" w:line="188" w:lineRule="exact"/>
        <w:rPr>
          <w:rFonts w:ascii="Times New Roman" w:cs="Times New Roman" w:eastAsia="Times New Roman" w:hAnsi="Times New Roman"/>
          <w:sz w:val="18"/>
          <w:szCs w:val="18"/>
          <w:color w:val="auto"/>
        </w:rPr>
      </w:pPr>
    </w:p>
    <w:p>
      <w:pPr>
        <w:ind w:left="1660" w:hanging="356"/>
        <w:spacing w:after="0"/>
        <w:tabs>
          <w:tab w:leader="none" w:pos="1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other than dollars, the coin or currency in which the Securities of the series are denominated (including, but not limited to, foreign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164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upon which the Company shall pay amounts in addition to the stated interest, premium, if any and principal amounts of the Securities of the series to any Securityholder that is not a “United States person” for federal tax purposes;</w:t>
      </w:r>
    </w:p>
    <w:p>
      <w:pPr>
        <w:spacing w:after="0" w:line="161"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transfer, sale or assignment of the Securities of the series; and</w:t>
      </w:r>
    </w:p>
    <w:p>
      <w:pPr>
        <w:spacing w:after="0" w:line="225" w:lineRule="exact"/>
        <w:rPr>
          <w:rFonts w:ascii="Times New Roman" w:cs="Times New Roman" w:eastAsia="Times New Roman" w:hAnsi="Times New Roman"/>
          <w:sz w:val="18"/>
          <w:szCs w:val="18"/>
          <w:color w:val="auto"/>
        </w:rPr>
      </w:pPr>
    </w:p>
    <w:p>
      <w:pPr>
        <w:ind w:left="1640" w:hanging="336"/>
        <w:spacing w:after="0"/>
        <w:tabs>
          <w:tab w:leader="none" w:pos="16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subordination terms of the Securities of the series.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2.02 Form of Securities and Trustee’s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and set forth in an Officers’ Certificate, and they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securities exchange on which Securities of that series may be listed, or to conform to usage.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2.03 Denominations: Provisions for Payment.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Securities shall be issuable as registered Securities and in the denominations of one thousand U.S. dollars ($1,000) or any integral multiple thereof, subject to Section 2.01(a)(10). The Securities of a particular series shall bear interest payable on the dates and at the rate specified with respect to that series. Subject to Section 2.01(a)(16),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3" w:name="page104"/>
    <w:bookmarkEnd w:id="103"/>
    <w:p>
      <w:pPr>
        <w:jc w:val="both"/>
        <w:spacing w:after="0" w:line="258" w:lineRule="auto"/>
        <w:rPr>
          <w:sz w:val="20"/>
          <w:szCs w:val="20"/>
          <w:color w:val="auto"/>
        </w:rPr>
      </w:pPr>
      <w:r>
        <w:rPr>
          <w:rFonts w:ascii="Times New Roman" w:cs="Times New Roman" w:eastAsia="Times New Roman" w:hAnsi="Times New Roman"/>
          <w:sz w:val="18"/>
          <w:szCs w:val="18"/>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76" w:lineRule="exact"/>
        <w:rPr>
          <w:sz w:val="20"/>
          <w:szCs w:val="20"/>
          <w:color w:val="auto"/>
        </w:rPr>
      </w:pPr>
    </w:p>
    <w:p>
      <w:pPr>
        <w:jc w:val="both"/>
        <w:ind w:firstLine="1304"/>
        <w:spacing w:after="0" w:line="253" w:lineRule="auto"/>
        <w:tabs>
          <w:tab w:leader="none" w:pos="156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(as hereinafter defined),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Unless otherwise set forth in a Board Resolution or one or more indentures supplemental hereto establishing the terms of any series of Securities pursuant to Section 2.01 hereof, the term “regular record date” as used in this Section with respect to a series of Securities and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first day of the month in which an Interest Payment Date established for such series pursuant to Section 2.01 hereof shall occur, if such Interest Payment Date is the fifteenth day of a month, whether or not such date is a Business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4" w:name="page105"/>
    <w:bookmarkEnd w:id="104"/>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2.04 Execution and Authentication.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Securities shall be signed on behalf of the Company by one of its Directors. Signatures may be in the form of a manual or facsimile signature.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may use the facsimile signature of any Person who shall have been an Officer, notwithstanding the fact that at the time the Securities shall be authenticated and delivered or disposed of such Person shall have ceased to be such an officer of the Company. The Securities may contain such notations, legends or endorsements required by law, stock exchange rule or usage. Each Security shall be dated the date of its authentication by the Trustee.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Security shall not be valid until authenticated manually by an authorized signatory of the Trustee, or by an Authenticating Agent. Such signature shall be conclusive evidence that the Security so authenticated has been duly authenticated and delivered hereunder and that the holder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an Officer, and the Trustee in accordance with such written order shall authenticate and deliver such Securities.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2.05 Registration of Transfer and Exchange.</w:t>
      </w:r>
    </w:p>
    <w:p>
      <w:pPr>
        <w:spacing w:after="0" w:line="229" w:lineRule="exact"/>
        <w:rPr>
          <w:sz w:val="20"/>
          <w:szCs w:val="20"/>
          <w:color w:val="auto"/>
        </w:rPr>
      </w:pPr>
    </w:p>
    <w:p>
      <w:pPr>
        <w:jc w:val="both"/>
        <w:ind w:firstLine="656"/>
        <w:spacing w:after="0" w:line="256" w:lineRule="auto"/>
        <w:tabs>
          <w:tab w:leader="none" w:pos="8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87" w:lineRule="exact"/>
        <w:rPr>
          <w:rFonts w:ascii="Times New Roman" w:cs="Times New Roman" w:eastAsia="Times New Roman" w:hAnsi="Times New Roman"/>
          <w:sz w:val="18"/>
          <w:szCs w:val="18"/>
          <w:color w:val="auto"/>
        </w:rPr>
      </w:pPr>
    </w:p>
    <w:p>
      <w:pPr>
        <w:jc w:val="both"/>
        <w:ind w:firstLine="656"/>
        <w:spacing w:after="0" w:line="258" w:lineRule="auto"/>
        <w:tabs>
          <w:tab w:leader="none" w:pos="91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5" w:name="page106"/>
    <w:bookmarkEnd w:id="105"/>
    <w:p>
      <w:pPr>
        <w:jc w:val="both"/>
        <w:spacing w:after="0" w:line="266" w:lineRule="auto"/>
        <w:rPr>
          <w:sz w:val="20"/>
          <w:szCs w:val="20"/>
          <w:color w:val="auto"/>
        </w:rPr>
      </w:pPr>
      <w:r>
        <w:rPr>
          <w:rFonts w:ascii="Times New Roman" w:cs="Times New Roman" w:eastAsia="Times New Roman" w:hAnsi="Times New Roman"/>
          <w:sz w:val="18"/>
          <w:szCs w:val="18"/>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76" w:lineRule="exact"/>
        <w:rPr>
          <w:sz w:val="20"/>
          <w:szCs w:val="20"/>
          <w:color w:val="auto"/>
        </w:rPr>
      </w:pPr>
    </w:p>
    <w:p>
      <w:pPr>
        <w:jc w:val="both"/>
        <w:ind w:firstLine="656"/>
        <w:spacing w:after="0" w:line="261" w:lineRule="auto"/>
        <w:tabs>
          <w:tab w:leader="none" w:pos="902"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90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other than the unredeemed portion of any such Securities being redeemed in part. The provisions of this Section 2.05 are, with respect to any Global Security, subject to Section 2.11 hereof.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2.06 Temporary Securities.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color w:val="auto"/>
        </w:rPr>
        <w:t>Section 2.07 Mutilated, Destroyed, Lost or Stolen Securities.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2.08 Cancellation.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2.09 Benefits of Indenture.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Nothing in this Indenture or in the Securities, express or implied, shall give or be construed to give to any Person, other than the parties hereto and the holders of the Securities (and, with respect to the provisions of Article Fourteen, the holders of any indebtedness of the Company to which the Securities of any series are subordinated)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Fourteen, the holders of any indebtedness of the Company to which the Securities of any series are subordinated).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color w:val="auto"/>
        </w:rPr>
        <w:t>Section 2.10 Authenticating Agent.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2.11 Global Securities.</w:t>
      </w:r>
    </w:p>
    <w:p>
      <w:pPr>
        <w:spacing w:after="0" w:line="229" w:lineRule="exact"/>
        <w:rPr>
          <w:sz w:val="20"/>
          <w:szCs w:val="20"/>
          <w:color w:val="auto"/>
        </w:rPr>
      </w:pPr>
    </w:p>
    <w:p>
      <w:pPr>
        <w:jc w:val="both"/>
        <w:ind w:firstLine="656"/>
        <w:spacing w:after="0" w:line="256" w:lineRule="auto"/>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establish pursuant to Section 2.01 that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all of the Outstanding Securities of such series, (ii) shall be registered in the name of the Depositary or its nominee, (iii) 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87" w:lineRule="exact"/>
        <w:rPr>
          <w:rFonts w:ascii="Times New Roman" w:cs="Times New Roman" w:eastAsia="Times New Roman" w:hAnsi="Times New Roman"/>
          <w:sz w:val="18"/>
          <w:szCs w:val="18"/>
          <w:color w:val="auto"/>
        </w:rPr>
      </w:pPr>
    </w:p>
    <w:p>
      <w:pPr>
        <w:jc w:val="both"/>
        <w:ind w:firstLine="656"/>
        <w:spacing w:after="0" w:line="266" w:lineRule="auto"/>
        <w:tabs>
          <w:tab w:leader="none" w:pos="909"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8" w:name="page109"/>
    <w:bookmarkEnd w:id="108"/>
    <w:p>
      <w:pPr>
        <w:jc w:val="both"/>
        <w:ind w:firstLine="656"/>
        <w:spacing w:after="0" w:line="252" w:lineRule="auto"/>
        <w:tabs>
          <w:tab w:leader="none" w:pos="89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or if an Event of Default has occurred and is continuing and the Company has received a request from the Depositary, this Section 2.11 shall no longer be applicable to the Securities of such series and the Company will execute, and subject to Section 2.04,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2.04,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OF SECURITIES AND SINKING FUND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3.01 Redemption.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redeem the Securities of any series issued hereunder on and after the dates and in accordance with the terms established for such series pursuant to Section 2.01 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3.02 Notice of Redemption.</w:t>
      </w:r>
    </w:p>
    <w:p>
      <w:pPr>
        <w:spacing w:after="0" w:line="229" w:lineRule="exact"/>
        <w:rPr>
          <w:sz w:val="20"/>
          <w:szCs w:val="20"/>
          <w:color w:val="auto"/>
        </w:rPr>
      </w:pPr>
    </w:p>
    <w:p>
      <w:pPr>
        <w:jc w:val="both"/>
        <w:ind w:firstLine="656"/>
        <w:spacing w:after="0" w:line="253" w:lineRule="auto"/>
        <w:tabs>
          <w:tab w:leader="none" w:pos="91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shall desire to exercise such right to redeem all or, as the case may be, a portion of the Securities of any series in accordance with any right the Company reserved for itself to do so pursuant to Section 2.01 hereof,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9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part shall specify the particular Securities to be so redeemed.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09" w:name="page110"/>
    <w:bookmarkEnd w:id="109"/>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76" w:lineRule="exact"/>
        <w:rPr>
          <w:sz w:val="20"/>
          <w:szCs w:val="20"/>
          <w:color w:val="auto"/>
        </w:rPr>
      </w:pPr>
    </w:p>
    <w:p>
      <w:pPr>
        <w:jc w:val="both"/>
        <w:ind w:firstLine="656"/>
        <w:spacing w:after="0" w:line="253" w:lineRule="auto"/>
        <w:tabs>
          <w:tab w:leader="none" w:pos="90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less than all the Securities of a series are to be redeemed, the Company shall give the Trustee at least 45 days’ notice (unless a shorter notice shall be satisfactory to the Trustee)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an Officer,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3.03 Payment Upon Redemption.</w:t>
      </w:r>
    </w:p>
    <w:p>
      <w:pPr>
        <w:spacing w:after="0" w:line="229" w:lineRule="exact"/>
        <w:rPr>
          <w:sz w:val="20"/>
          <w:szCs w:val="20"/>
          <w:color w:val="auto"/>
        </w:rPr>
      </w:pPr>
    </w:p>
    <w:p>
      <w:pPr>
        <w:jc w:val="both"/>
        <w:ind w:firstLine="656"/>
        <w:spacing w:after="0" w:line="254" w:lineRule="auto"/>
        <w:tabs>
          <w:tab w:leader="none" w:pos="902"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91" w:lineRule="exact"/>
        <w:rPr>
          <w:rFonts w:ascii="Times New Roman" w:cs="Times New Roman" w:eastAsia="Times New Roman" w:hAnsi="Times New Roman"/>
          <w:sz w:val="18"/>
          <w:szCs w:val="18"/>
          <w:color w:val="auto"/>
        </w:rPr>
      </w:pPr>
    </w:p>
    <w:p>
      <w:pPr>
        <w:jc w:val="both"/>
        <w:ind w:firstLine="656"/>
        <w:spacing w:after="0" w:line="266" w:lineRule="auto"/>
        <w:tabs>
          <w:tab w:leader="none" w:pos="93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Section 3.04 Sinking Fund.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3.05 Satisfaction of Sinking Fund Payments with Securities.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 may deliver Outstanding Securities of a series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3.06 Redemption of Securities for Sinking Fund.</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Not less than 45 days prior to each sinking fund payment date for any series of Securities (unless a shorter period shall be satisfactory to the Trustee),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4.01 Payment of Principal, Premium and Interest.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Section 4.02 Maintenance of Office or Agency.</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any officer authorized to sign an Officers’ Certificate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 The Company initially appoints the Corporate Trust Office of the Trustee located in the Borough of Manhattan, the City of New York as its paying agent with respect to the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4.03 Paying Agents.</w:t>
      </w:r>
    </w:p>
    <w:p>
      <w:pPr>
        <w:spacing w:after="0" w:line="229" w:lineRule="exact"/>
        <w:rPr>
          <w:sz w:val="20"/>
          <w:szCs w:val="20"/>
          <w:color w:val="auto"/>
        </w:rPr>
      </w:pPr>
    </w:p>
    <w:p>
      <w:pPr>
        <w:jc w:val="both"/>
        <w:ind w:firstLine="656"/>
        <w:spacing w:after="0" w:line="266" w:lineRule="auto"/>
        <w:tabs>
          <w:tab w:leader="none" w:pos="89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2"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554"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67"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61" w:lineRule="exact"/>
        <w:rPr>
          <w:rFonts w:ascii="Times New Roman" w:cs="Times New Roman" w:eastAsia="Times New Roman" w:hAnsi="Times New Roman"/>
          <w:sz w:val="18"/>
          <w:szCs w:val="18"/>
          <w:color w:val="auto"/>
        </w:rPr>
      </w:pPr>
    </w:p>
    <w:p>
      <w:pPr>
        <w:ind w:left="1560" w:hanging="256"/>
        <w:spacing w:after="0"/>
        <w:tabs>
          <w:tab w:leader="none" w:pos="156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perform all other duties of paying agent as set forth in this Indenture.</w:t>
      </w:r>
    </w:p>
    <w:p>
      <w:pPr>
        <w:spacing w:after="0" w:line="225" w:lineRule="exact"/>
        <w:rPr>
          <w:rFonts w:ascii="Times New Roman" w:cs="Times New Roman" w:eastAsia="Times New Roman" w:hAnsi="Times New Roman"/>
          <w:sz w:val="18"/>
          <w:szCs w:val="18"/>
          <w:color w:val="auto"/>
        </w:rPr>
      </w:pPr>
    </w:p>
    <w:p>
      <w:pPr>
        <w:jc w:val="both"/>
        <w:ind w:firstLine="656"/>
        <w:spacing w:after="0" w:line="254" w:lineRule="auto"/>
        <w:tabs>
          <w:tab w:leader="none" w:pos="90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(and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2" w:name="page113"/>
    <w:bookmarkEnd w:id="112"/>
    <w:p>
      <w:pPr>
        <w:jc w:val="both"/>
        <w:ind w:firstLine="656"/>
        <w:spacing w:after="0" w:line="256" w:lineRule="auto"/>
        <w:tabs>
          <w:tab w:leader="none" w:pos="90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the Company or any paying agent to the Trustee, the Company or such paying agent shall be released from all further liability with respect to such money.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4.04 Appointment to Fill Vacancy in Office of Trustee.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4.05 Compliance with Consolidation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Person unless the provisions of Article Ten hereof are complied with.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SECURITYHOLDERS’ LISTS AND REPORTS BY THE COMPANY AND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5.01 Company to Furnish Trustee Names and Addresses of Securityholders.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will furnish or cause to be furnished to the Trustee (a) within 15 days after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 .</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5.02 Preservation of Information; Communications with Securityholders.</w:t>
      </w:r>
    </w:p>
    <w:p>
      <w:pPr>
        <w:spacing w:after="0" w:line="229" w:lineRule="exact"/>
        <w:rPr>
          <w:sz w:val="20"/>
          <w:szCs w:val="20"/>
          <w:color w:val="auto"/>
        </w:rPr>
      </w:pPr>
    </w:p>
    <w:p>
      <w:pPr>
        <w:jc w:val="both"/>
        <w:ind w:firstLine="656"/>
        <w:spacing w:after="0" w:line="266" w:lineRule="auto"/>
        <w:tabs>
          <w:tab w:leader="none" w:pos="90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destroy any list furnished to it as provided in Section 5.01 upon receipt of a new list so furnished.</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Securityholders may communicate as provided in Section 312(b) of the Trust Indenture Act with other Securityholders with respect to their rights under this Indenture or under the Securities, and, in connection with any such communications, the Trustee shall satisfy its obligations under Section 312(b) of the Trust Indenture Act in accordance with the provisions of Section 312(b) of the Trust Indenture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Section 5.03 Reports by the Company.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covenants and agrees to provide a copy to the Trustee, after the Company files the same with the U.S. Securities and Exchange Commission, copies of the annual reports and of the information, documents and other reports (or copies of such portions of any of the foregoing as the U.S. Securities and Exchange Commission may from time to time by rules and regulations prescribe) that the Company files with the U.S. Securities and Exchange Commission pursuant to Section 13 or Section 15(d) of the Exchange Act; provided, however, the Company shall not be required to deliver to the Trustee any materials for which the Company has sought and received confidential treatment by the SEC. The Company shall also comply with the requirements of Section 314 of the Trust Indenture Act, but only to the extent then applicable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5.04 Reports by the Trustee.</w:t>
      </w:r>
    </w:p>
    <w:p>
      <w:pPr>
        <w:spacing w:after="0" w:line="229" w:lineRule="exact"/>
        <w:rPr>
          <w:sz w:val="20"/>
          <w:szCs w:val="20"/>
          <w:color w:val="auto"/>
        </w:rPr>
      </w:pPr>
    </w:p>
    <w:p>
      <w:pPr>
        <w:jc w:val="both"/>
        <w:ind w:firstLine="656"/>
        <w:spacing w:after="0" w:line="266" w:lineRule="auto"/>
        <w:tabs>
          <w:tab w:leader="none" w:pos="89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July 1 in each year in which any of the Securities are Outstanding, the Trustee shall transmit by mail, first class postage prepaid, to the Securityholders, as their names and addresses appear upon the Security Register, a brief report dated as of the preceding May 1, if and to the extent required under Section 313(a) of the Trust Indenture Act.</w:t>
      </w:r>
    </w:p>
    <w:p>
      <w:pPr>
        <w:spacing w:after="0" w:line="17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comply with Section 313(b) and 313(c) of the Trust Indenture Act.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each such report shall, at the time of such transmission to Securityholders, be filed by the Trustee with the Company, with each securities exchange upon which any Securities are listed (if so listed) and also with the U.S. Securities and Exchange Commission. The Company agrees to notify the Trustee when any Securities become listed on any securities exchange.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REMEDIES OF THE TRUSTEE AND SECURITYHOLDERS ON EVENT OF DEFAULT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6.01 Events of Default.</w:t>
      </w:r>
    </w:p>
    <w:p>
      <w:pPr>
        <w:spacing w:after="0" w:line="229" w:lineRule="exact"/>
        <w:rPr>
          <w:sz w:val="20"/>
          <w:szCs w:val="20"/>
          <w:color w:val="auto"/>
        </w:rPr>
      </w:pPr>
    </w:p>
    <w:p>
      <w:pPr>
        <w:ind w:firstLine="656"/>
        <w:spacing w:after="0" w:line="282" w:lineRule="auto"/>
        <w:tabs>
          <w:tab w:leader="none" w:pos="89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used herein with respect to Securities of a particular series, “Event of Default” means any one or more of the following events that has occurred and is continuing:</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64"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any installment of interest upon any of the Securities of that series, as and when the same shall become due and payable, and such default continues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7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58"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4" w:name="page115"/>
    <w:bookmarkEnd w:id="114"/>
    <w:p>
      <w:pPr>
        <w:jc w:val="both"/>
        <w:ind w:firstLine="1304"/>
        <w:spacing w:after="0" w:line="256" w:lineRule="auto"/>
        <w:tabs>
          <w:tab w:leader="none" w:pos="1582"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at least 25% in principal amount of the Securities of that series at the time Outstanding;</w:t>
      </w:r>
    </w:p>
    <w:p>
      <w:pPr>
        <w:spacing w:after="0" w:line="187"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5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59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days.</w:t>
      </w:r>
    </w:p>
    <w:p>
      <w:pPr>
        <w:spacing w:after="0" w:line="175" w:lineRule="exact"/>
        <w:rPr>
          <w:rFonts w:ascii="Times New Roman" w:cs="Times New Roman" w:eastAsia="Times New Roman" w:hAnsi="Times New Roman"/>
          <w:sz w:val="18"/>
          <w:szCs w:val="18"/>
          <w:color w:val="auto"/>
        </w:rPr>
      </w:pPr>
    </w:p>
    <w:p>
      <w:pPr>
        <w:jc w:val="both"/>
        <w:ind w:firstLine="656"/>
        <w:spacing w:after="0" w:line="255" w:lineRule="auto"/>
        <w:tabs>
          <w:tab w:leader="none" w:pos="90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and every such case (other than an Event of Default specified in clause (4) or clause (5) above), unless the principal of all the Securities of that series shall have already become due and payable, either the Trustee or the holders of not less than 25% in aggregate principal amount of the Securities of that series then Outstanding hereunder, by notice in writing to the Company (and to the Trustee if given by such Securityholders), may declare the principal of (and premium, if any, on) and accrued and unpaid interest on all the Securities of that series to be due and payable immediately, and upon any such declaration the same shall become and shall be immediately due and payable. If an Event of Default specified in clause (4) or clause (5) above occurs, the principal of and accrued and unpaid interest on all the Securities of that series shall automatically be immediately due and payable without any declaration or other act on the part of the Trustee or the holders of the Securities.</w:t>
      </w:r>
    </w:p>
    <w:p>
      <w:pPr>
        <w:spacing w:after="0" w:line="188" w:lineRule="exact"/>
        <w:rPr>
          <w:rFonts w:ascii="Times New Roman" w:cs="Times New Roman" w:eastAsia="Times New Roman" w:hAnsi="Times New Roman"/>
          <w:sz w:val="18"/>
          <w:szCs w:val="18"/>
          <w:color w:val="auto"/>
        </w:rPr>
      </w:pPr>
    </w:p>
    <w:p>
      <w:pPr>
        <w:jc w:val="both"/>
        <w:ind w:firstLine="656"/>
        <w:spacing w:after="0" w:line="253" w:lineRule="auto"/>
        <w:tabs>
          <w:tab w:leader="none" w:pos="89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principal of (and premium, if any, on) and accrued and unpaid interest on the Securities of that series shall have been so declared due and payable, and before any judgment or decree for the payment of the moneys due shall have been obtained or entered as hereinafter provided, the holders of a majority in aggregate principal amount of the Securities of that series then Outstanding hereunder,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(with interest upon such principal and premium, if any, and, to the extent that such payment is enforceable under applicable law, upon overdue installments of interest, at the rate per annum expressed in the Securities of that series to the date of such payment or deposit) and the amount payable to the Trustee under Section 7.06, and (ii) any and all Events of Default under the Indenture with respect to such series, other than the nonpayment of principal on (and premium, if any, on) and accrued and unpaid interest on Securities of that series that shall not have become due by their terms, shall have been remedied or waived as provided in Section 6.06.</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and annulment shall extend to or shall affect any subsequent default or impair any right consequent thereon.</w:t>
      </w:r>
    </w:p>
    <w:p>
      <w:pPr>
        <w:spacing w:after="0" w:line="225" w:lineRule="exact"/>
        <w:rPr>
          <w:sz w:val="20"/>
          <w:szCs w:val="20"/>
          <w:color w:val="auto"/>
        </w:rPr>
      </w:pPr>
    </w:p>
    <w:p>
      <w:pPr>
        <w:jc w:val="both"/>
        <w:ind w:firstLine="656"/>
        <w:spacing w:after="0" w:line="258" w:lineRule="auto"/>
        <w:tabs>
          <w:tab w:leader="none" w:pos="90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Section 6.02 Collection of Indebtedness and Suits for Enforcement by Trustee.</w:t>
      </w:r>
    </w:p>
    <w:p>
      <w:pPr>
        <w:spacing w:after="0" w:line="229" w:lineRule="exact"/>
        <w:rPr>
          <w:sz w:val="20"/>
          <w:szCs w:val="20"/>
          <w:color w:val="auto"/>
        </w:rPr>
      </w:pPr>
    </w:p>
    <w:p>
      <w:pPr>
        <w:jc w:val="both"/>
        <w:ind w:firstLine="656"/>
        <w:spacing w:after="0" w:line="254" w:lineRule="auto"/>
        <w:tabs>
          <w:tab w:leader="none" w:pos="89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that (i) in case it shall default in the payment of any installment of interest on any of the Securities of a series, or in any payment required by any sinking or analogous fund established with respect to that series as and when the same shall have become due and payable, and such default shall have continued for a period of 90 Business Days, or (ii)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88" w:lineRule="exact"/>
        <w:rPr>
          <w:rFonts w:ascii="Times New Roman" w:cs="Times New Roman" w:eastAsia="Times New Roman" w:hAnsi="Times New Roman"/>
          <w:sz w:val="18"/>
          <w:szCs w:val="18"/>
          <w:color w:val="auto"/>
        </w:rPr>
      </w:pPr>
    </w:p>
    <w:p>
      <w:pPr>
        <w:jc w:val="both"/>
        <w:ind w:firstLine="656"/>
        <w:spacing w:after="0" w:line="258" w:lineRule="auto"/>
        <w:tabs>
          <w:tab w:leader="none" w:pos="9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or equity out of the property of the Company or other obligor upon the Securities of that series, wherever situated.</w:t>
      </w:r>
    </w:p>
    <w:p>
      <w:pPr>
        <w:spacing w:after="0" w:line="183" w:lineRule="exact"/>
        <w:rPr>
          <w:rFonts w:ascii="Times New Roman" w:cs="Times New Roman" w:eastAsia="Times New Roman" w:hAnsi="Times New Roman"/>
          <w:sz w:val="18"/>
          <w:szCs w:val="18"/>
          <w:color w:val="auto"/>
        </w:rPr>
      </w:pPr>
    </w:p>
    <w:p>
      <w:pPr>
        <w:jc w:val="both"/>
        <w:ind w:firstLine="656"/>
        <w:spacing w:after="0" w:line="254" w:lineRule="auto"/>
        <w:tabs>
          <w:tab w:leader="none" w:pos="95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receivership, insolvency, liquidation, bankruptcy, reorganization, readjustment, arrangement, composition or judicial proceedings affecting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the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88" w:lineRule="exact"/>
        <w:rPr>
          <w:rFonts w:ascii="Times New Roman" w:cs="Times New Roman" w:eastAsia="Times New Roman" w:hAnsi="Times New Roman"/>
          <w:sz w:val="18"/>
          <w:szCs w:val="18"/>
          <w:color w:val="auto"/>
        </w:rPr>
      </w:pPr>
    </w:p>
    <w:p>
      <w:pPr>
        <w:jc w:val="both"/>
        <w:ind w:firstLine="656"/>
        <w:spacing w:after="0" w:line="261" w:lineRule="auto"/>
        <w:tabs>
          <w:tab w:leader="none" w:pos="89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6" w:name="page117"/>
    <w:bookmarkEnd w:id="116"/>
    <w:p>
      <w:pPr>
        <w:jc w:val="both"/>
        <w:spacing w:after="0" w:line="261" w:lineRule="auto"/>
        <w:rPr>
          <w:sz w:val="20"/>
          <w:szCs w:val="20"/>
          <w:color w:val="auto"/>
        </w:rPr>
      </w:pPr>
      <w:r>
        <w:rPr>
          <w:rFonts w:ascii="Times New Roman" w:cs="Times New Roman" w:eastAsia="Times New Roman" w:hAnsi="Times New Roman"/>
          <w:sz w:val="18"/>
          <w:szCs w:val="18"/>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the Indenture or in aid of the exercise of any power granted in this Indenture, or to enforce any other legal or equitable right vested in the Trustee by this Indenture or by law.</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6.03 Application of Moneys or Property Collected.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moneys or property collected by the Trustee pursuant to this Article with respect to a particular series of Securities shall be applied in the following order, at the date or dates fixed by the Trustee and, in case of the distribution of such moneys or property on account of principal (or premium, if any) or interest, upon presentation of the Securities of that series, and notation thereon of the payment, if only partially paid, and upon surrender thereof if fully paid: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FIRST: To the payment of reasonable costs and expenses of collection and of all amounts payable to the Trustee under Section 7.06;</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SECOND: To the payment of all indebtedness of the Company to which such series of Securities is subordinated to the extent required by Section 7.06 and Article Fourteen;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THIRD: 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 and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FOURTH: To the payment of the remainder, if any, to the Company or any other Person lawfully entitled thereto, as requested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6.04 Limitation on Suits.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25%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(iv) the Trustee for 90 days after its receipt of such notice, request and offer of indemnity, shall have failed to institute any such action, suit or proceeding and (v) during such 90 day period, the holders of a majority in principal amount of the Securities of that series do not give the Trustee a direction inconsistent with the request.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7" w:name="page118"/>
    <w:bookmarkEnd w:id="117"/>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contained herein to the contrary or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6.05 Rights and Remedies Cumulative; Delay or Omission Not Waiver.</w:t>
      </w:r>
    </w:p>
    <w:p>
      <w:pPr>
        <w:spacing w:after="0" w:line="229" w:lineRule="exact"/>
        <w:rPr>
          <w:sz w:val="20"/>
          <w:szCs w:val="20"/>
          <w:color w:val="auto"/>
        </w:rPr>
      </w:pPr>
    </w:p>
    <w:p>
      <w:pPr>
        <w:jc w:val="both"/>
        <w:ind w:firstLine="656"/>
        <w:spacing w:after="0" w:line="261" w:lineRule="auto"/>
        <w:tabs>
          <w:tab w:leader="none" w:pos="89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0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an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6.06 Control by Securityholders.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determined in accordance with Section 8.04,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Subject to the provisions of Section 7.01, the Trustee shall have the right to decline to follow any such direction if the Trustee in good faith shall, by a Responsible Officer or officers of the Trustee, determine that the proceeding so directed, subject to the Trustee’s duties under the Trust Indenture Act, would involve the Trustee in personal liability or might be unduly prejudicial to the Securityholders not involved in the proceeding. The holders of a majority in aggregate principal amount of the Securities of any series at the time Outstanding affected thereby, determined in accordance with Section 8.04,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color w:val="auto"/>
        </w:rPr>
        <w:t>Section 6.07 Undertaking to Pay Costs.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7.01 Certain Duties and Responsibilities of Trustee.</w:t>
      </w:r>
    </w:p>
    <w:p>
      <w:pPr>
        <w:spacing w:after="0" w:line="229" w:lineRule="exact"/>
        <w:rPr>
          <w:sz w:val="20"/>
          <w:szCs w:val="20"/>
          <w:color w:val="auto"/>
        </w:rPr>
      </w:pPr>
    </w:p>
    <w:p>
      <w:pPr>
        <w:jc w:val="both"/>
        <w:ind w:firstLine="656"/>
        <w:spacing w:after="0" w:line="256" w:lineRule="auto"/>
        <w:tabs>
          <w:tab w:leader="none" w:pos="89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91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be construed to relieve the Trustee from liability for its own negligent action, its own negligent failure to act, or its own willful misconduct, except that: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29"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61" w:lineRule="exact"/>
        <w:rPr>
          <w:rFonts w:ascii="Times New Roman" w:cs="Times New Roman" w:eastAsia="Times New Roman" w:hAnsi="Times New Roman"/>
          <w:sz w:val="18"/>
          <w:szCs w:val="18"/>
          <w:color w:val="auto"/>
        </w:rPr>
      </w:pPr>
    </w:p>
    <w:p>
      <w:pPr>
        <w:jc w:val="both"/>
        <w:ind w:firstLine="1952"/>
        <w:spacing w:after="0" w:line="261" w:lineRule="auto"/>
        <w:tabs>
          <w:tab w:leader="none" w:pos="2264" w:val="left"/>
        </w:tabs>
        <w:numPr>
          <w:ilvl w:val="2"/>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9" w:name="page120"/>
    <w:bookmarkEnd w:id="119"/>
    <w:p>
      <w:pPr>
        <w:jc w:val="both"/>
        <w:ind w:firstLine="1952"/>
        <w:spacing w:after="0" w:line="258" w:lineRule="auto"/>
        <w:tabs>
          <w:tab w:leader="none" w:pos="226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83"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3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79" w:lineRule="exact"/>
        <w:rPr>
          <w:rFonts w:ascii="Times New Roman" w:cs="Times New Roman" w:eastAsia="Times New Roman" w:hAnsi="Times New Roman"/>
          <w:sz w:val="18"/>
          <w:szCs w:val="18"/>
          <w:color w:val="auto"/>
        </w:rPr>
      </w:pPr>
    </w:p>
    <w:p>
      <w:pPr>
        <w:jc w:val="both"/>
        <w:ind w:firstLine="1304"/>
        <w:spacing w:after="0" w:line="261" w:lineRule="auto"/>
        <w:tabs>
          <w:tab w:leader="none" w:pos="162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7.02 Certain Rights of Trustee.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Except as otherwise provided in Section 7.01:</w:t>
      </w:r>
    </w:p>
    <w:p>
      <w:pPr>
        <w:spacing w:after="0" w:line="225" w:lineRule="exact"/>
        <w:rPr>
          <w:sz w:val="20"/>
          <w:szCs w:val="20"/>
          <w:color w:val="auto"/>
        </w:rPr>
      </w:pPr>
    </w:p>
    <w:p>
      <w:pPr>
        <w:jc w:val="both"/>
        <w:ind w:firstLine="656"/>
        <w:spacing w:after="0" w:line="266" w:lineRule="auto"/>
        <w:tabs>
          <w:tab w:leader="none" w:pos="9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conclusively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92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request, direction, order or demand of the Company mentioned herein shall be sufficiently evidenced by a Board Resolution or an instrument signed in the name of the Company by any authorized officer of the Company (unless other evidence in respect thereof is specifically prescribed herein);</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93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06"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89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0" w:name="page121"/>
    <w:bookmarkEnd w:id="120"/>
    <w:p>
      <w:pPr>
        <w:jc w:val="both"/>
        <w:ind w:firstLine="656"/>
        <w:spacing w:after="0" w:line="255" w:lineRule="auto"/>
        <w:tabs>
          <w:tab w:leader="none" w:pos="882"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88" w:lineRule="exact"/>
        <w:rPr>
          <w:rFonts w:ascii="Times New Roman" w:cs="Times New Roman" w:eastAsia="Times New Roman" w:hAnsi="Times New Roman"/>
          <w:sz w:val="18"/>
          <w:szCs w:val="18"/>
          <w:color w:val="auto"/>
        </w:rPr>
      </w:pPr>
    </w:p>
    <w:p>
      <w:pPr>
        <w:jc w:val="both"/>
        <w:ind w:firstLine="656"/>
        <w:spacing w:after="0" w:line="266" w:lineRule="auto"/>
        <w:tabs>
          <w:tab w:leader="none" w:pos="91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the Trustee shall not be deemed to have knowledge of any Default or Event of Default except (1) any Event of Default occurring pursuant to Sections 6.01(a)(1), 6.01(a)(2) and 4.01 hereof or (2) any Default or Event of Default of which the Trustee shall have received written notification in the manner set forth in this Indenture or a Responsible Officer of the Trustee shall have obtained actual knowledge. Delivery of reports, information and documents to the Trustee under Section 5.03 is for informational purposes only and the information and the Trustee’s receipt of the foregoing shall not constitute constructive notice of any information contained therein, or determinable from information contained therein including the Company’s compliance with any of their covenants thereunder (as to which the Trustee is entitled to rely conclusively on an Officers’ Certificate).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7.03 Trustee Not Responsible for Recitals or Issuance or Securities.</w:t>
      </w:r>
    </w:p>
    <w:p>
      <w:pPr>
        <w:spacing w:after="0" w:line="229" w:lineRule="exact"/>
        <w:rPr>
          <w:sz w:val="20"/>
          <w:szCs w:val="20"/>
          <w:color w:val="auto"/>
        </w:rPr>
      </w:pPr>
    </w:p>
    <w:p>
      <w:pPr>
        <w:ind w:right="20" w:firstLine="656"/>
        <w:spacing w:after="0" w:line="282" w:lineRule="auto"/>
        <w:tabs>
          <w:tab w:leader="none" w:pos="896"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recitals contained herein and in the Securities shall be taken as the statements of the Company, and the Trustee assumes no responsibility for the correctness of the same.</w:t>
      </w:r>
    </w:p>
    <w:p>
      <w:pPr>
        <w:spacing w:after="0" w:line="161"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makes no representations as to the validity or sufficiency of this Indenture or of the Securities.</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8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7.04 May Hold Securities.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color w:val="auto"/>
        </w:rPr>
        <w:t>Section 7.05 Moneys Held in Trust.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7.06 Compensation and Reimbursement.</w:t>
      </w:r>
    </w:p>
    <w:p>
      <w:pPr>
        <w:spacing w:after="0" w:line="229" w:lineRule="exact"/>
        <w:rPr>
          <w:sz w:val="20"/>
          <w:szCs w:val="20"/>
          <w:color w:val="auto"/>
        </w:rPr>
      </w:pPr>
    </w:p>
    <w:p>
      <w:pPr>
        <w:jc w:val="both"/>
        <w:ind w:firstLine="656"/>
        <w:spacing w:after="0" w:line="253" w:lineRule="auto"/>
        <w:tabs>
          <w:tab w:leader="none" w:pos="897"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and except as the Company and Trustee may from time to time agree in writing.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reasonable costs and expenses of defending itself against any claim of liability in the premises.</w:t>
      </w:r>
    </w:p>
    <w:p>
      <w:pPr>
        <w:spacing w:after="0" w:line="194" w:lineRule="exact"/>
        <w:rPr>
          <w:rFonts w:ascii="Times New Roman" w:cs="Times New Roman" w:eastAsia="Times New Roman" w:hAnsi="Times New Roman"/>
          <w:sz w:val="18"/>
          <w:szCs w:val="18"/>
          <w:color w:val="auto"/>
        </w:rPr>
      </w:pPr>
    </w:p>
    <w:p>
      <w:pPr>
        <w:jc w:val="both"/>
        <w:ind w:firstLine="656"/>
        <w:spacing w:after="0" w:line="261" w:lineRule="auto"/>
        <w:tabs>
          <w:tab w:leader="none" w:pos="936"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Company under this Section to compensate and indemnify the Trustee and to pay or reimburse the Trustee for reasonable expenses, disbursements and advances shall constitute indebtedness of the Company to which the Securities are subordinated.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7.07 Reliance on Officers’ Certificate.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Except as otherwise provided in Section 7.01, whenever in the administration of the provisions of this Indenture the Trustee shall deem it reasonably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7.08 Disqualification; Conflicting Interests.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color w:val="auto"/>
        </w:rPr>
        <w:t>Section 7.09 Corporate Trustee Required; Eligibility.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U.S. Securities and Exchange Commission, authorized under such laws to exercise corporate trust powers, having a combined capital and surplus of at least fifty million U.S. dollars ($50,000,000), and subject to supervision or examination by federal, state, territorial, or District of Columbia authority.</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such corporation or other Person publishes reports of condition at least annually, pursuant to law or to the requirements of the aforesaid supervising or examining authority, then for the purposes of this Section, the combined capital and surplus of such corporation or other Person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7.10 Resignation and Removal; Appointment of Successor.</w:t>
      </w:r>
    </w:p>
    <w:p>
      <w:pPr>
        <w:spacing w:after="0" w:line="229" w:lineRule="exact"/>
        <w:rPr>
          <w:sz w:val="20"/>
          <w:szCs w:val="20"/>
          <w:color w:val="auto"/>
        </w:rPr>
      </w:pPr>
    </w:p>
    <w:p>
      <w:pPr>
        <w:jc w:val="both"/>
        <w:ind w:firstLine="656"/>
        <w:spacing w:after="0" w:line="254" w:lineRule="auto"/>
        <w:tabs>
          <w:tab w:leader="none" w:pos="8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88"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any one of the following shall occur:</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49"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575"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cease to be eligible in accordance with the provisions of Section 7.09 and shall fail to resign after written request therefor by the Company or by any such Securityholder; or</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63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3" w:name="page124"/>
    <w:bookmarkEnd w:id="123"/>
    <w:p>
      <w:pPr>
        <w:jc w:val="both"/>
        <w:ind w:firstLine="656"/>
        <w:spacing w:after="0" w:line="266" w:lineRule="auto"/>
        <w:tabs>
          <w:tab w:leader="none" w:pos="90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902"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94"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7.11 Acceptance of Appointment by Successor.</w:t>
      </w:r>
    </w:p>
    <w:p>
      <w:pPr>
        <w:spacing w:after="0" w:line="229" w:lineRule="exact"/>
        <w:rPr>
          <w:sz w:val="20"/>
          <w:szCs w:val="20"/>
          <w:color w:val="auto"/>
        </w:rPr>
      </w:pPr>
    </w:p>
    <w:p>
      <w:pPr>
        <w:jc w:val="both"/>
        <w:ind w:firstLine="656"/>
        <w:spacing w:after="0" w:line="256" w:lineRule="auto"/>
        <w:tabs>
          <w:tab w:leader="none" w:pos="91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90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(i)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(ii)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(iii)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4" w:name="page125"/>
    <w:bookmarkEnd w:id="124"/>
    <w:p>
      <w:pPr>
        <w:ind w:firstLine="656"/>
        <w:spacing w:after="0" w:line="282" w:lineRule="auto"/>
        <w:tabs>
          <w:tab w:leader="none" w:pos="91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successor trustee shall accept its appointment unless at the time of such acceptance such successor trustee shall be qualified and eligible under this Article.</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9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7.12 Merger, Conversion, Consolidation or Succession to Business.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7.13 Preferential Collection of Claims Against the Company.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7.14 Notice of Default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If any Default or any Event of Default occurs and is continuing and if such Default or Event of Default is known to a Responsible Officer of the Trustee, the Trustee shall mail to each Securityholder in the manner and to the extent provided in Section 313(c) of the Trust Indenture Act notice of the Default or Event of Default within 45 days after it occurs and becomes known to the Trustee, unless such Default or Event of Default has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except in the case of a default in the payment of the principal of (or premium, if any) or interest on any Security, the Trustee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protected in withholding such notice if and so long as the board of directors, the executive committee or a trust committee of directors and/or Responsible Officers of the Trustee in good faith determine that the withholding of such notice is in the interest of the Securityholders.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CONCERNING THE SECURITYHOLDERS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8.01 Evidence of Action by Securityholders.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8.02 Proof of Execution by Securityholders.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62" w:lineRule="exact"/>
        <w:rPr>
          <w:sz w:val="20"/>
          <w:szCs w:val="20"/>
          <w:color w:val="auto"/>
        </w:rPr>
      </w:pPr>
    </w:p>
    <w:p>
      <w:pPr>
        <w:ind w:left="900" w:hanging="244"/>
        <w:spacing w:after="0"/>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and date of the execution by any such Person of any instrument may be proved in any reasonable manner acceptable to the Trustee.</w:t>
      </w:r>
    </w:p>
    <w:p>
      <w:pPr>
        <w:spacing w:after="0" w:line="225" w:lineRule="exact"/>
        <w:rPr>
          <w:rFonts w:ascii="Times New Roman" w:cs="Times New Roman" w:eastAsia="Times New Roman" w:hAnsi="Times New Roman"/>
          <w:sz w:val="18"/>
          <w:szCs w:val="18"/>
          <w:color w:val="auto"/>
        </w:rPr>
      </w:pPr>
    </w:p>
    <w:p>
      <w:pPr>
        <w:ind w:right="340" w:firstLine="656"/>
        <w:spacing w:after="0" w:line="498" w:lineRule="auto"/>
        <w:tabs>
          <w:tab w:leader="none" w:pos="90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ownership of Securities shall be proved by the Security Register of such Securities or by a certificate of the Security Registrar thereof. The Trustee may require such additional proof of any matter referred to in this Section as it shall deem necessary.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8.03 Who May be Deemed Owners.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Section 8.04 Certain Securities Owned by Company Disregarded.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determining whether the holders of the requisite aggregate principal amount of Securities of a particular series have concurred in any direction, consent or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8.05 Actions Binding on Future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INDENTURES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9.01 Supplemental Indentures Without the Consent of Securityholders.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76" w:lineRule="exact"/>
        <w:rPr>
          <w:sz w:val="20"/>
          <w:szCs w:val="20"/>
          <w:color w:val="auto"/>
        </w:rPr>
      </w:pPr>
    </w:p>
    <w:p>
      <w:pPr>
        <w:ind w:left="900" w:hanging="244"/>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 herein or in the Securities of any series;</w:t>
      </w:r>
    </w:p>
    <w:p>
      <w:pPr>
        <w:spacing w:after="0" w:line="22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Article Ten;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7" w:name="page128"/>
    <w:bookmarkEnd w:id="127"/>
    <w:p>
      <w:pPr>
        <w:ind w:left="900" w:hanging="244"/>
        <w:spacing w:after="0"/>
        <w:tabs>
          <w:tab w:leader="none" w:pos="9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 and to make all appropriate changes for such purpose;</w:t>
      </w:r>
    </w:p>
    <w:p>
      <w:pPr>
        <w:spacing w:after="0" w:line="225" w:lineRule="exact"/>
        <w:rPr>
          <w:rFonts w:ascii="Times New Roman" w:cs="Times New Roman" w:eastAsia="Times New Roman" w:hAnsi="Times New Roman"/>
          <w:sz w:val="18"/>
          <w:szCs w:val="18"/>
          <w:color w:val="auto"/>
        </w:rPr>
      </w:pPr>
    </w:p>
    <w:p>
      <w:pPr>
        <w:jc w:val="both"/>
        <w:ind w:firstLine="656"/>
        <w:spacing w:after="0" w:line="258" w:lineRule="auto"/>
        <w:tabs>
          <w:tab w:leader="none" w:pos="92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restrictions, conditions or provisions relating to the Company for the benefit of the holders of all or any series of Securities (and if such covenants, restrictions, conditions or provisions are to be for the benefit of less than all series of Securities, stating that such covenants, restrictions, conditions or provisions are expressly being included solely for the benefit of such series), to make the occurrence, or the occurrence and the continuance, of a default in any such additional covenants, restrictions, conditions or provisions an Event of Default, or to surrender any right or power herein conferred upon the Company;</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42"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delete from, or revise the conditions, limitations, and restrictions on the authorized amount, terms, or purposes of issue, authentication, and delivery of Securities, as herein set forth;</w:t>
      </w:r>
    </w:p>
    <w:p>
      <w:pPr>
        <w:spacing w:after="0" w:line="161" w:lineRule="exact"/>
        <w:rPr>
          <w:rFonts w:ascii="Times New Roman" w:cs="Times New Roman" w:eastAsia="Times New Roman" w:hAnsi="Times New Roman"/>
          <w:sz w:val="18"/>
          <w:szCs w:val="18"/>
          <w:color w:val="auto"/>
        </w:rPr>
      </w:pPr>
    </w:p>
    <w:p>
      <w:pPr>
        <w:ind w:left="880" w:hanging="224"/>
        <w:spacing w:after="0"/>
        <w:tabs>
          <w:tab w:leader="none" w:pos="88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Securityholder in any material respect;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9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w:t>
      </w:r>
    </w:p>
    <w:p>
      <w:pPr>
        <w:spacing w:after="0" w:line="175"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evidence and provide for the acceptance of appointment hereunder by a successor trustee; or</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6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any requirements of the U.S. Securities and Exchange Commission or any successor in connection with the qualification of this Indenture under the Trust Indenture Act.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9.02 Supplemental Indentures with Consent of Securityholders.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With the consent (evidenced as provided in Section 8.01) of the holders of not less than a majority in aggregate principal amount of the Securities of each series affected by such supplemental indenture or indentures at the time Outstanding, the Company, when authorized by a Board Resolution,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(a) extend the fixed maturity of any Securities of any series, or reduce the principal amount thereof, or reduce the rate or extend the time of payment of interest thereon, or reduce any premium payable upon the redemption thereof or (b) reduce the aforesaid percentage of Securities, the holders of which are required to consent to any such supplemental indenture.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8" w:name="page129"/>
    <w:bookmarkEnd w:id="128"/>
    <w:p>
      <w:pPr>
        <w:jc w:val="both"/>
        <w:spacing w:after="0" w:line="282" w:lineRule="auto"/>
        <w:rPr>
          <w:sz w:val="20"/>
          <w:szCs w:val="20"/>
          <w:color w:val="auto"/>
        </w:rPr>
      </w:pPr>
      <w:r>
        <w:rPr>
          <w:rFonts w:ascii="Times New Roman" w:cs="Times New Roman" w:eastAsia="Times New Roman" w:hAnsi="Times New Roman"/>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9.03 Effect of Supplemental Indentures.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9.04 Securities Affected by Supplemental Indentures.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securities exchange upon which such series may be listed, as to any matter provided for in such supplemental indenture. If the Company shall so determine, new Securities of that series so modified as to conform, in the opinion of the Board of Directors, to any modification of this Indenture contained in any such supplemental indenture may be prepared by the Company, authenticated by the Trustee and delivered in exchange for the Securities of that series then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9.05 Execution of Supplemental Indentures.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will be entitled to receive and will be fully protected in relying upon an Officers’ Certificate and an Opinion of Counsel stating that any supplemental indenture executed pursuant to this Article is authorized or permitted by, and conforms to, the terms of this Article and that it is proper for the Trustee under the provisions of this Article to join in the execution thereof; provided, however, that such Officers’ Certificate or Opinion of Counsel need not be provided in connection with the execution of a supplemental indenture that establishes the terms of a series of Securities pursuant to Section 2.01 hereof.</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SUCCESSOR ENTITY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10.01 Company May Consolidate, Etc.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nothing contained in this Indenture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reasonably satisfactory in form to the Trustee executed and delivered to the Trustee by the entity formed by such consolidation, or into which the Company shall have been merged, or by the entity which shall have acquired such property.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10.02 Successor Entity Substituted.</w:t>
      </w:r>
    </w:p>
    <w:p>
      <w:pPr>
        <w:spacing w:after="0" w:line="229" w:lineRule="exact"/>
        <w:rPr>
          <w:sz w:val="20"/>
          <w:szCs w:val="20"/>
          <w:color w:val="auto"/>
        </w:rPr>
      </w:pPr>
    </w:p>
    <w:p>
      <w:pPr>
        <w:jc w:val="both"/>
        <w:ind w:firstLine="656"/>
        <w:spacing w:after="0" w:line="258" w:lineRule="auto"/>
        <w:tabs>
          <w:tab w:leader="none" w:pos="90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and upon the assumption by the successor entity by supplemental indenture, executed and delivered to the Trustee and satisfactory in form to the Trustee, of the obligations set forth under Section 10.01 on all of the Securities of all series Outstanding,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83" w:lineRule="exact"/>
        <w:rPr>
          <w:rFonts w:ascii="Times New Roman" w:cs="Times New Roman" w:eastAsia="Times New Roman" w:hAnsi="Times New Roman"/>
          <w:sz w:val="18"/>
          <w:szCs w:val="18"/>
          <w:color w:val="auto"/>
        </w:rPr>
      </w:pPr>
    </w:p>
    <w:p>
      <w:pPr>
        <w:ind w:firstLine="656"/>
        <w:spacing w:after="0" w:line="282" w:lineRule="auto"/>
        <w:tabs>
          <w:tab w:leader="none" w:pos="916"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91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10.03 Evidence of Consolidation, Etc. to Trustee.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Trustee, subject to the provisions of Section 7.01, may receive an Officers’ Certificate or an Opinion of Counsel as conclusive evidence that any such consolidation, merger, sale, conveyance, transfer or other disposition, and any such assumption, comply with the provisions of this Article.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ARTICLE 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11.01 Satisfaction and Discharge of Indenture.</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If at any time: (a) the Company shall have delivered to the Trustee for cancellation all Securities of a series theretofore authenticated and not delivered to the Trustee for cancellation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or a combination thereof, sufficient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11.02 Discharge of Obligations.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7.05, 7.10 and 11.05 hereof that shall survive until such Securities shall mature and be paid.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Thereafter, Sections 7.06 and 11.05 shall survive.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11.03 Deposited Moneys to be Held in Trust.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color w:val="auto"/>
        </w:rPr>
        <w:t>Section 11.04 Payment of Moneys Held by Paying Agents.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11.05 Repayment to Company.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moneys or Governmental Obligations deposited with any paying agent or the Trustee, or then held by the Company, in trust for payment of principal of or premium, if any, or interest on the Securities of a particular series that are not applied but remain unclaimed by the holders of such Securities for at least two years after the date upon which the principal of (and premium, if any) or interest on such Securities shall have respectively become due and payable, or such other shorter period set forth in applicable escheat or abandoned or unclaimed property law, shall be repaid to the Company on May 31 of each year or upon the Company’s request or (if then held by the Company) shall be discharged from such trust; and thereupon the paying agent and the Trustee shall be released from all further liability with respect to such moneys or Governmental Obligations, and the holder of any of the Securities entitled to receive such payment shall thereafter, as a general creditor, look only to the Company for the payment thereof.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IMMUNITY OF INCORPORATORS, SHAREHOLDERS, OFFICERS AND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12.01 No Recourse.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 recourse under or upon any obligation, covenant or agreement of this Indenture, or of any Security, or for any claim based thereon or otherwise in respect thereof, shall be had against any incorporator, shareholder,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shareholders,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shareholder,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13.01 Effect on Successors and Assigns.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All the covenants, stipulations, promises and agreements in this Indenture made by or on behalf of the Company shall bind its successors and assigns, whether so expressed or not.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13.02 Actions by Successor.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13.03 Surrender of Company Powers.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13.04 Notices.</w:t>
      </w:r>
    </w:p>
    <w:p>
      <w:pPr>
        <w:spacing w:after="0" w:line="229"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Except as otherwise expressly provided herein, any notice, request or demand that by any provision of this Indenture is required or permitted to be given, made or served by the Trustee or by the holders of Securities or by any other Person pursuant to this Indenture to or on the Company may be given or served by being deposited in first class mail, postage prepaid, addressed (until another address is filed in writing by the Company with the Trustee), as follows: 9 Temasek Boulevard #07-00, Suntec Tower Two, Singapore 038989, with a copy to Hunter Taubman Fischer &amp; Li LLC, 950 Third Avenue, 19</w:t>
      </w:r>
      <w:r>
        <w:rPr>
          <w:rFonts w:ascii="Times New Roman" w:cs="Times New Roman" w:eastAsia="Times New Roman" w:hAnsi="Times New Roman"/>
          <w:sz w:val="29"/>
          <w:szCs w:val="29"/>
          <w:color w:val="auto"/>
          <w:vertAlign w:val="superscript"/>
        </w:rPr>
        <w:t>th</w:t>
      </w:r>
    </w:p>
    <w:p>
      <w:pPr>
        <w:spacing w:after="0" w:line="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Floor, New York, NY 10022, Attn: Ying Li, Esq. Any notice, election, request or demand by the Company or any Securityholder or by any other Person pursuant to this Indenture to or upon the Trustee shall be deemed to have been sufficiently given or made, for all purposes, if given or made in writing at the Corporate Trust Office of the Trustee.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13.05 Governing Law.</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and each Security shall be deemed to be a contract made under the internal laws of the State of New York, and for all purposes shall be construed in accordance with the laws of said State, except to the extent that the Trust Indenture Act is applicable.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13.06 Treatment of Securities as Debt.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Section 13.07 Certificates and Opinions as to Conditions Precedent.</w:t>
      </w:r>
    </w:p>
    <w:p>
      <w:pPr>
        <w:spacing w:after="0" w:line="229" w:lineRule="exact"/>
        <w:rPr>
          <w:sz w:val="20"/>
          <w:szCs w:val="20"/>
          <w:color w:val="auto"/>
        </w:rPr>
      </w:pPr>
    </w:p>
    <w:p>
      <w:pPr>
        <w:jc w:val="both"/>
        <w:ind w:firstLine="656"/>
        <w:spacing w:after="0" w:line="256" w:lineRule="auto"/>
        <w:tabs>
          <w:tab w:leader="none" w:pos="89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(other than the certificate to be delivered pursuant to Section 13.13)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87" w:lineRule="exact"/>
        <w:rPr>
          <w:rFonts w:ascii="Times New Roman" w:cs="Times New Roman" w:eastAsia="Times New Roman" w:hAnsi="Times New Roman"/>
          <w:sz w:val="18"/>
          <w:szCs w:val="18"/>
          <w:color w:val="auto"/>
        </w:rPr>
      </w:pPr>
    </w:p>
    <w:p>
      <w:pPr>
        <w:jc w:val="both"/>
        <w:ind w:firstLine="656"/>
        <w:spacing w:after="0" w:line="256" w:lineRule="auto"/>
        <w:tabs>
          <w:tab w:leader="none" w:pos="9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certificate or opinion provided for in this Indenture and delivered to the Trustee with respect to compliance with a condition or covenant in this Indenture shall include (i) a statement that the Person making such certificate or opinion has read such covenant or condition; (ii) a brief statement as to the nature and scope of the examination or investigation upon which the statements or opinions contained in such certificate or opinion are based; (iii) a statement that, in the opinion of such Person, he has made such examination or investigation as is reasonably necessary to enable him to express an informed opinion as to whether or not such covenant or condition has been complied with; and (iv) a statement as to whether or not, in the opinion of such Person, such condition or covenant has been complied with.</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13.08 Payments on Business Days.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pursuant to Section 2.01 pursuant to a Board Resolution, and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13.09 Conflict with Trust Indenture Act.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13.10 Indenture and Securities Solely Corporate Obligations.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No recourse for the payment of the principal of, premium, if any, or interest on any Securities, or for any claim based thereon or otherwise in respect thereof, and no recourse under or upon any obligation, covenant or agreement of the Company in this Indenture or in any supplemental indenture or in any Security, or because of the creation of any indebtedness represented thereby, shall be had against any incorporator, shareholder, employee, agent, officer, director or subsidiary, as such, past, present or future, of the Company or of any successor entity, either directly or through the Company or any successor entity, whether by virtue of any constitution, statute, or rule of law, or by the enforcement of any assessment or penalty or otherwise; it being expressly understood that all such liability is hereby expressly waived and released as a condition of, and as a consideration for, the execution of this Indenture and the issuance of the Securities.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color w:val="auto"/>
        </w:rPr>
        <w:t>Section 13.11 Counterparts.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Indenture may be executed in any number of counterparts, each of which shall be an original, but such counterparts shall together constitute but one and the same instrument.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13.12 Separability.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13.13 Compliance Certificates.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shall deliver to the Trustee, within 120 days after the end of each fiscal year during which any Securities of any series were outstanding, a compliance certificate stating whether or not the signer knows of any Default or Event of Default that occurred during such fiscal year. Such certificate shall contain a certification from the principal executive officer, principal financial officer or principal accounting officer of the Company that a review has been conducted of the activities of the Company and the Company’s performance under this Indenture and that the Company has complied with all conditions and covenants under this Indenture. For purposes of this Section 13.13, such compliance shall be determined without regard to any period of grace or requirement of notice provided under this Indenture. If the officer of the Company signing such certificate has knowledge of such a Default or Event of Default, the certificate shall describe any such Default or Event of Default and its status.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SUBORDINATION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14.01 Subordination Terms.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payment by the Company of the principal of, premium, if any, and interest on any series of securities issued hereunder shall be subordinated to the extent set forth in an indenture supplemental hereto relating to such Securities.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Indenture to be duly executed all as of the day and year first above written.</w:t>
      </w: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HELPORT AI LIMITED</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 xml:space="preserve">[TRUSTEE], </w:t>
      </w:r>
      <w:r>
        <w:rPr>
          <w:rFonts w:ascii="Times New Roman" w:cs="Times New Roman" w:eastAsia="Times New Roman" w:hAnsi="Times New Roman"/>
          <w:sz w:val="18"/>
          <w:szCs w:val="18"/>
          <w:color w:val="auto"/>
        </w:rPr>
        <w:t>as Trustee</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3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136" w:name="page137"/>
    <w:bookmarkEnd w:id="136"/>
    <w:tbl>
      <w:tblPr>
        <w:tblLayout w:type="fixed"/>
        <w:tblInd w:w="0" w:type="dxa"/>
        <w:tblCellMar>
          <w:top w:w="0" w:type="dxa"/>
          <w:left w:w="0" w:type="dxa"/>
          <w:bottom w:w="0" w:type="dxa"/>
          <w:right w:w="0" w:type="dxa"/>
        </w:tblCellMar>
      </w:tblP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CROSS-REFERENCE TABLE (1)</w:t>
            </w:r>
          </w:p>
        </w:tc>
        <w:tc>
          <w:tcPr>
            <w:tcW w:w="4260" w:type="dxa"/>
            <w:vAlign w:val="bottom"/>
          </w:tcPr>
          <w:p>
            <w:pPr>
              <w:spacing w:after="0"/>
              <w:rPr>
                <w:sz w:val="20"/>
                <w:szCs w:val="20"/>
                <w:color w:val="auto"/>
              </w:rPr>
            </w:pPr>
          </w:p>
        </w:tc>
      </w:tr>
      <w:tr>
        <w:trPr>
          <w:trHeight w:val="439"/>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Section of Trust Indenture Act Of 1939, as Amended</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Section of Indenture</w:t>
            </w:r>
          </w:p>
        </w:tc>
      </w:tr>
      <w:tr>
        <w:trPr>
          <w:trHeight w:val="216"/>
        </w:trPr>
        <w:tc>
          <w:tcPr>
            <w:tcW w:w="6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310(a)</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7.09</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310(b)</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7.08</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7.10</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310(c)</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Inapplicable</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311(a)</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7.13</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311(b)</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7.13</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311(c)</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312(a)</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5.01</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5.02(a)</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312(b)</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5.02(c)</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312(c)</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5.02(c)</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313(a)</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5.04(a)</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313(b)</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5.04(b)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313(c)</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5.04(a)</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5.04(b)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313(d)</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5.04(c)</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314(a)</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5.03</w:t>
            </w:r>
          </w:p>
        </w:tc>
      </w:tr>
      <w:tr>
        <w:trPr>
          <w:trHeight w:val="216"/>
        </w:trPr>
        <w:tc>
          <w:tcPr>
            <w:tcW w:w="6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13.12</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314(b)</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314(c)</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13.07(a)</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314(d)</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314(e)</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13.07(b)</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314(f)</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Inapplicable</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315(a)</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7.01(a)</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7.01(b)</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315(b)</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7.14</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315(c)</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7.01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315(d)</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7.01(b)</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315(e)</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6.07</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316(a)</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6.06</w:t>
            </w:r>
          </w:p>
        </w:tc>
      </w:tr>
      <w:tr>
        <w:trPr>
          <w:trHeight w:val="216"/>
        </w:trPr>
        <w:tc>
          <w:tcPr>
            <w:tcW w:w="6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8.04</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316(b)</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6.04</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316(c)</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8.01</w:t>
            </w:r>
          </w:p>
        </w:tc>
      </w:tr>
      <w:tr>
        <w:trPr>
          <w:trHeight w:val="216"/>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317(a)</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6.02</w:t>
            </w:r>
          </w:p>
        </w:tc>
      </w:tr>
      <w:tr>
        <w:trPr>
          <w:trHeight w:val="216"/>
        </w:trPr>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317(b)</w:t>
            </w:r>
          </w:p>
        </w:tc>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4.03</w:t>
            </w:r>
          </w:p>
        </w:tc>
      </w:tr>
      <w:tr>
        <w:trPr>
          <w:trHeight w:val="238"/>
        </w:trPr>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318(a)</w:t>
            </w:r>
          </w:p>
        </w:tc>
        <w:tc>
          <w:tcPr>
            <w:tcW w:w="4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13.09</w:t>
            </w:r>
          </w:p>
        </w:tc>
      </w:tr>
    </w:tbl>
    <w:p>
      <w:pPr>
        <w:spacing w:after="0" w:line="175" w:lineRule="exact"/>
        <w:rPr>
          <w:sz w:val="20"/>
          <w:szCs w:val="20"/>
          <w:color w:val="auto"/>
        </w:rPr>
      </w:pPr>
    </w:p>
    <w:p>
      <w:pPr>
        <w:ind w:left="340" w:hanging="332"/>
        <w:spacing w:after="0" w:line="282" w:lineRule="auto"/>
        <w:tabs>
          <w:tab w:leader="none" w:pos="34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Cross-Reference Table does not constitute part of the Indenture and shall not have any bearing on the interpretation of any of its terms or provisions.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164465</wp:posOffset>
            </wp:positionV>
            <wp:extent cx="1183005" cy="4972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1183005" cy="49720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Helport AI Limited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6054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nathan.powell@ogier.com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+852 3656 6010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cecilia.li@ogier.com</w:t>
      </w:r>
    </w:p>
    <w:p>
      <w:pPr>
        <w:spacing w:after="0" w:line="200" w:lineRule="exact"/>
        <w:rPr>
          <w:sz w:val="20"/>
          <w:szCs w:val="20"/>
          <w:color w:val="auto"/>
        </w:rPr>
      </w:pPr>
    </w:p>
    <w:p>
      <w:pPr>
        <w:sectPr>
          <w:pgSz w:w="11900" w:h="16838" w:orient="portrait"/>
          <w:cols w:equalWidth="0" w:num="2">
            <w:col w:w="6920" w:space="720"/>
            <w:col w:w="3600"/>
          </w:cols>
          <w:pgMar w:left="320" w:top="117" w:right="339" w:bottom="1440" w:gutter="0" w:footer="0" w:header="0"/>
          <w:type w:val="continuous"/>
        </w:sectPr>
      </w:pPr>
    </w:p>
    <w:p>
      <w:pPr>
        <w:spacing w:after="0" w:line="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Reference: NMP/RYH/510506.00001</w:t>
      </w:r>
    </w:p>
    <w:p>
      <w:pPr>
        <w:spacing w:after="0" w:line="237"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8"/>
          <w:szCs w:val="18"/>
          <w:color w:val="auto"/>
        </w:rPr>
        <w:t>25 March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Helport AI Limited (the Company)</w:t>
      </w:r>
    </w:p>
    <w:p>
      <w:pPr>
        <w:sectPr>
          <w:pgSz w:w="11900" w:h="16838" w:orient="portrait"/>
          <w:cols w:equalWidth="0" w:num="1">
            <w:col w:w="11240"/>
          </w:cols>
          <w:pgMar w:left="320" w:top="117" w:right="339" w:bottom="1440" w:gutter="0" w:footer="0" w:header="0"/>
          <w:type w:val="continuous"/>
        </w:sectPr>
      </w:pP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been requested to provide you with an opinion on matters of British Virgin Islands law in connection with the Company’s registration statement on Form F-3, including all amendments or supplements thereto (including its exhibits,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xml:space="preserve">), to be filed by the Company with the United States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xml:space="preserve">) under the United States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xml:space="preserve">) to date relating to the registration of up to US$100,000,000 of the following securities to be issued by the Company from time to time (together with the Resale Shares (as defined below),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1300" w:hanging="644"/>
        <w:spacing w:after="0" w:line="26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ordinary shares of par value US$0.0001 each of the Company, including the underlying ordinary shares issuable upon the conversion, exchange, redemption, repurchase or exercise (as the case may be) of any Non-Equity Securities (as defined below) (the </w:t>
      </w:r>
      <w:r>
        <w:rPr>
          <w:rFonts w:ascii="Times New Roman" w:cs="Times New Roman" w:eastAsia="Times New Roman" w:hAnsi="Times New Roman"/>
          <w:sz w:val="18"/>
          <w:szCs w:val="18"/>
          <w:b w:val="1"/>
          <w:bCs w:val="1"/>
          <w:color w:val="auto"/>
        </w:rPr>
        <w:t>Ordinary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preferred shares to be designated by the Company, including the underlying preferred shares issuable upon the conversion, exchange, redemption, repurchase or exercise (as the case may be) of any Non-Equity Securities (the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together with the Ordinary Shares, the </w:t>
      </w:r>
      <w:r>
        <w:rPr>
          <w:rFonts w:ascii="Times New Roman" w:cs="Times New Roman" w:eastAsia="Times New Roman" w:hAnsi="Times New Roman"/>
          <w:sz w:val="18"/>
          <w:szCs w:val="18"/>
          <w:b w:val="1"/>
          <w:bCs w:val="1"/>
          <w:color w:val="auto"/>
        </w:rPr>
        <w:t>Equity Securities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jc w:val="both"/>
        <w:ind w:left="1300" w:hanging="644"/>
        <w:spacing w:after="0" w:line="268"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warrants to purchase Ordinary Shares or Preferred Shares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xml:space="preserve">) issuable pursuant to the terms of a warrant agreement or similar agreement to be entered into between the Company and a warrant agent for such Warrants thereunder, if any (the </w:t>
      </w:r>
      <w:r>
        <w:rPr>
          <w:rFonts w:ascii="Times New Roman" w:cs="Times New Roman" w:eastAsia="Times New Roman" w:hAnsi="Times New Roman"/>
          <w:sz w:val="18"/>
          <w:szCs w:val="18"/>
          <w:b w:val="1"/>
          <w:bCs w:val="1"/>
          <w:color w:val="auto"/>
        </w:rPr>
        <w:t>Warrant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debt securities (the </w:t>
      </w:r>
      <w:r>
        <w:rPr>
          <w:rFonts w:ascii="Times New Roman" w:cs="Times New Roman" w:eastAsia="Times New Roman" w:hAnsi="Times New Roman"/>
          <w:sz w:val="18"/>
          <w:szCs w:val="18"/>
          <w:b w:val="1"/>
          <w:bCs w:val="1"/>
          <w:color w:val="auto"/>
        </w:rPr>
        <w:t>Debt Securities</w:t>
      </w:r>
      <w:r>
        <w:rPr>
          <w:rFonts w:ascii="Times New Roman" w:cs="Times New Roman" w:eastAsia="Times New Roman" w:hAnsi="Times New Roman"/>
          <w:sz w:val="18"/>
          <w:szCs w:val="18"/>
          <w:color w:val="auto"/>
        </w:rPr>
        <w:t xml:space="preserve">) to be issued pursuant to the applicable indenture or similar agreement to be entered into by the Company (the </w:t>
      </w:r>
      <w:r>
        <w:rPr>
          <w:rFonts w:ascii="Times New Roman" w:cs="Times New Roman" w:eastAsia="Times New Roman" w:hAnsi="Times New Roman"/>
          <w:sz w:val="18"/>
          <w:szCs w:val="18"/>
          <w:b w:val="1"/>
          <w:bCs w:val="1"/>
          <w:color w:val="auto"/>
        </w:rPr>
        <w:t>Debt Document</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Ogier</w:t>
      </w:r>
    </w:p>
    <w:p>
      <w:pPr>
        <w:spacing w:after="0" w:line="229" w:lineRule="auto"/>
        <w:rPr>
          <w:sz w:val="20"/>
          <w:szCs w:val="20"/>
          <w:color w:val="auto"/>
        </w:rPr>
      </w:pPr>
      <w:r>
        <w:rPr>
          <w:rFonts w:ascii="Times New Roman" w:cs="Times New Roman" w:eastAsia="Times New Roman" w:hAnsi="Times New Roman"/>
          <w:sz w:val="14"/>
          <w:szCs w:val="14"/>
          <w:color w:val="auto"/>
        </w:rPr>
        <w:t>Providing advice on British Virgin Islands,</w:t>
      </w:r>
    </w:p>
    <w:p>
      <w:pPr>
        <w:spacing w:after="0"/>
        <w:rPr>
          <w:sz w:val="20"/>
          <w:szCs w:val="20"/>
          <w:color w:val="auto"/>
        </w:rPr>
      </w:pPr>
      <w:r>
        <w:rPr>
          <w:rFonts w:ascii="Times New Roman" w:cs="Times New Roman" w:eastAsia="Times New Roman" w:hAnsi="Times New Roman"/>
          <w:sz w:val="14"/>
          <w:szCs w:val="14"/>
          <w:color w:val="auto"/>
        </w:rPr>
        <w:t>Cayman Islands and Guernsey laws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Floor 11 Central Tower</w:t>
            </w:r>
          </w:p>
        </w:tc>
        <w:tc>
          <w:tcPr>
            <w:tcW w:w="292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Partners</w:t>
            </w:r>
          </w:p>
        </w:tc>
        <w:tc>
          <w:tcPr>
            <w:tcW w:w="22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Yuki Yan</w:t>
            </w:r>
          </w:p>
        </w:tc>
        <w:tc>
          <w:tcPr>
            <w:tcW w:w="3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28 Queen’s Road Central</w:t>
            </w:r>
          </w:p>
        </w:tc>
        <w:tc>
          <w:tcPr>
            <w:tcW w:w="29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Nicholas Plowman</w:t>
            </w:r>
          </w:p>
        </w:tc>
        <w:tc>
          <w:tcPr>
            <w:tcW w:w="2260" w:type="dxa"/>
            <w:vAlign w:val="bottom"/>
            <w:vMerge w:val="continue"/>
          </w:tcPr>
          <w:p>
            <w:pPr>
              <w:spacing w:after="0"/>
              <w:rPr>
                <w:sz w:val="12"/>
                <w:szCs w:val="12"/>
                <w:color w:val="auto"/>
              </w:rPr>
            </w:pP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Central</w:t>
            </w:r>
          </w:p>
        </w:tc>
        <w:tc>
          <w:tcPr>
            <w:tcW w:w="29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Nathan Powell</w:t>
            </w:r>
          </w:p>
        </w:tc>
        <w:tc>
          <w:tcPr>
            <w:tcW w:w="22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David Lin</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Hong Kong</w:t>
            </w:r>
          </w:p>
        </w:tc>
        <w:tc>
          <w:tcPr>
            <w:tcW w:w="29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Anthony Oakes</w:t>
            </w:r>
          </w:p>
        </w:tc>
        <w:tc>
          <w:tcPr>
            <w:tcW w:w="22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Alan Wong</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9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Oliver Payne</w:t>
            </w:r>
          </w:p>
        </w:tc>
        <w:tc>
          <w:tcPr>
            <w:tcW w:w="22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Janice Chu</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9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Kate Hodson</w:t>
            </w:r>
          </w:p>
        </w:tc>
        <w:tc>
          <w:tcPr>
            <w:tcW w:w="22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Zhao Rong Ooi</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920" w:type="dxa"/>
            <w:vAlign w:val="bottom"/>
          </w:tcPr>
          <w:p>
            <w:pPr>
              <w:ind w:left="1260"/>
              <w:spacing w:after="0" w:line="149" w:lineRule="exact"/>
              <w:rPr>
                <w:sz w:val="20"/>
                <w:szCs w:val="20"/>
                <w:color w:val="auto"/>
              </w:rPr>
            </w:pPr>
            <w:r>
              <w:rPr>
                <w:rFonts w:ascii="Times New Roman" w:cs="Times New Roman" w:eastAsia="Times New Roman" w:hAnsi="Times New Roman"/>
                <w:sz w:val="14"/>
                <w:szCs w:val="14"/>
                <w:color w:val="auto"/>
              </w:rPr>
              <w:t>David Nelson</w:t>
            </w:r>
          </w:p>
        </w:tc>
        <w:tc>
          <w:tcPr>
            <w:tcW w:w="2260" w:type="dxa"/>
            <w:vAlign w:val="bottom"/>
          </w:tcPr>
          <w:p>
            <w:pPr>
              <w:ind w:left="580"/>
              <w:spacing w:after="0" w:line="149" w:lineRule="exact"/>
              <w:rPr>
                <w:sz w:val="20"/>
                <w:szCs w:val="20"/>
                <w:color w:val="auto"/>
              </w:rPr>
            </w:pPr>
            <w:r>
              <w:rPr>
                <w:rFonts w:ascii="Times New Roman" w:cs="Times New Roman" w:eastAsia="Times New Roman" w:hAnsi="Times New Roman"/>
                <w:sz w:val="14"/>
                <w:szCs w:val="14"/>
                <w:color w:val="auto"/>
              </w:rPr>
              <w:t>Rachel Huang**</w:t>
            </w:r>
          </w:p>
        </w:tc>
        <w:tc>
          <w:tcPr>
            <w:tcW w:w="3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T +852 3656 6000</w:t>
            </w:r>
          </w:p>
        </w:tc>
        <w:tc>
          <w:tcPr>
            <w:tcW w:w="29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Justin Davis</w:t>
            </w:r>
          </w:p>
        </w:tc>
        <w:tc>
          <w:tcPr>
            <w:tcW w:w="2260" w:type="dxa"/>
            <w:vAlign w:val="bottom"/>
          </w:tcPr>
          <w:p>
            <w:pPr>
              <w:ind w:left="580"/>
              <w:spacing w:after="0" w:line="185" w:lineRule="exact"/>
              <w:rPr>
                <w:sz w:val="20"/>
                <w:szCs w:val="20"/>
                <w:color w:val="auto"/>
              </w:rPr>
            </w:pPr>
            <w:r>
              <w:rPr>
                <w:rFonts w:ascii="Times New Roman" w:cs="Times New Roman" w:eastAsia="Times New Roman" w:hAnsi="Times New Roman"/>
                <w:sz w:val="13"/>
                <w:szCs w:val="13"/>
                <w:color w:val="auto"/>
              </w:rPr>
              <w:t>Florence Chan*</w:t>
            </w:r>
            <w:r>
              <w:rPr>
                <w:rFonts w:ascii="Times New Roman" w:cs="Times New Roman" w:eastAsia="Times New Roman" w:hAnsi="Times New Roman"/>
                <w:sz w:val="21"/>
                <w:szCs w:val="21"/>
                <w:color w:val="auto"/>
                <w:vertAlign w:val="superscript"/>
              </w:rPr>
              <w:t>‡</w:t>
            </w:r>
          </w:p>
        </w:tc>
        <w:tc>
          <w:tcPr>
            <w:tcW w:w="3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F +852 3656 6001</w:t>
            </w:r>
          </w:p>
        </w:tc>
        <w:tc>
          <w:tcPr>
            <w:tcW w:w="29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Joanne Collett</w:t>
            </w:r>
          </w:p>
        </w:tc>
        <w:tc>
          <w:tcPr>
            <w:tcW w:w="2260" w:type="dxa"/>
            <w:vAlign w:val="bottom"/>
          </w:tcPr>
          <w:p>
            <w:pPr>
              <w:ind w:left="580"/>
              <w:spacing w:after="0" w:line="189" w:lineRule="exact"/>
              <w:rPr>
                <w:sz w:val="20"/>
                <w:szCs w:val="20"/>
                <w:color w:val="auto"/>
              </w:rPr>
            </w:pPr>
            <w:r>
              <w:rPr>
                <w:rFonts w:ascii="Times New Roman" w:cs="Times New Roman" w:eastAsia="Times New Roman" w:hAnsi="Times New Roman"/>
                <w:sz w:val="13"/>
                <w:szCs w:val="13"/>
                <w:color w:val="auto"/>
              </w:rPr>
              <w:t>Richard Bennett**</w:t>
            </w:r>
            <w:r>
              <w:rPr>
                <w:rFonts w:ascii="Times New Roman" w:cs="Times New Roman" w:eastAsia="Times New Roman" w:hAnsi="Times New Roman"/>
                <w:sz w:val="21"/>
                <w:szCs w:val="21"/>
                <w:color w:val="auto"/>
                <w:vertAlign w:val="superscript"/>
              </w:rPr>
              <w:t>‡</w:t>
            </w:r>
          </w:p>
        </w:tc>
        <w:tc>
          <w:tcPr>
            <w:tcW w:w="33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 admitted in New Zealand</w:t>
            </w:r>
          </w:p>
        </w:tc>
        <w:tc>
          <w:tcPr>
            <w:tcW w:w="0" w:type="dxa"/>
            <w:vAlign w:val="bottom"/>
          </w:tcPr>
          <w:p>
            <w:pPr>
              <w:spacing w:after="0"/>
              <w:rPr>
                <w:sz w:val="1"/>
                <w:szCs w:val="1"/>
                <w:color w:val="auto"/>
              </w:rPr>
            </w:pPr>
          </w:p>
        </w:tc>
      </w:tr>
      <w:tr>
        <w:trPr>
          <w:trHeight w:val="72"/>
        </w:trPr>
        <w:tc>
          <w:tcPr>
            <w:tcW w:w="2700" w:type="dxa"/>
            <w:vAlign w:val="bottom"/>
          </w:tcPr>
          <w:p>
            <w:pPr>
              <w:spacing w:after="0" w:line="72" w:lineRule="exact"/>
              <w:rPr>
                <w:sz w:val="20"/>
                <w:szCs w:val="20"/>
                <w:color w:val="auto"/>
              </w:rPr>
            </w:pPr>
            <w:r>
              <w:rPr>
                <w:rFonts w:ascii="Times New Roman" w:cs="Times New Roman" w:eastAsia="Times New Roman" w:hAnsi="Times New Roman"/>
                <w:sz w:val="8"/>
                <w:szCs w:val="8"/>
                <w:b w:val="1"/>
                <w:bCs w:val="1"/>
                <w:color w:val="auto"/>
              </w:rPr>
              <w:t>ogier.com</w:t>
            </w:r>
          </w:p>
        </w:tc>
        <w:tc>
          <w:tcPr>
            <w:tcW w:w="2920" w:type="dxa"/>
            <w:vAlign w:val="bottom"/>
          </w:tcPr>
          <w:p>
            <w:pPr>
              <w:ind w:left="1260"/>
              <w:spacing w:after="0" w:line="72" w:lineRule="exact"/>
              <w:rPr>
                <w:sz w:val="20"/>
                <w:szCs w:val="20"/>
                <w:color w:val="auto"/>
              </w:rPr>
            </w:pPr>
            <w:r>
              <w:rPr>
                <w:rFonts w:ascii="Times New Roman" w:cs="Times New Roman" w:eastAsia="Times New Roman" w:hAnsi="Times New Roman"/>
                <w:sz w:val="8"/>
                <w:szCs w:val="8"/>
                <w:color w:val="auto"/>
              </w:rPr>
              <w:t>Dennis Li</w:t>
            </w:r>
          </w:p>
        </w:tc>
        <w:tc>
          <w:tcPr>
            <w:tcW w:w="2260" w:type="dxa"/>
            <w:vAlign w:val="bottom"/>
            <w:vMerge w:val="restart"/>
          </w:tcPr>
          <w:p>
            <w:pPr>
              <w:ind w:left="580"/>
              <w:spacing w:after="0"/>
              <w:rPr>
                <w:sz w:val="20"/>
                <w:szCs w:val="20"/>
                <w:color w:val="auto"/>
              </w:rPr>
            </w:pPr>
            <w:r>
              <w:rPr>
                <w:rFonts w:ascii="Times New Roman" w:cs="Times New Roman" w:eastAsia="Times New Roman" w:hAnsi="Times New Roman"/>
                <w:sz w:val="14"/>
                <w:szCs w:val="14"/>
                <w:color w:val="auto"/>
              </w:rPr>
              <w:t>James Bergstrom</w:t>
            </w:r>
            <w:r>
              <w:rPr>
                <w:rFonts w:ascii="Times New Roman" w:cs="Times New Roman" w:eastAsia="Times New Roman" w:hAnsi="Times New Roman"/>
                <w:sz w:val="23"/>
                <w:szCs w:val="23"/>
                <w:color w:val="auto"/>
                <w:vertAlign w:val="superscript"/>
              </w:rPr>
              <w:t>‡</w:t>
            </w:r>
          </w:p>
        </w:tc>
        <w:tc>
          <w:tcPr>
            <w:tcW w:w="3360" w:type="dxa"/>
            <w:vAlign w:val="bottom"/>
          </w:tcPr>
          <w:p>
            <w:pPr>
              <w:ind w:left="560"/>
              <w:spacing w:after="0" w:line="72" w:lineRule="exact"/>
              <w:rPr>
                <w:sz w:val="20"/>
                <w:szCs w:val="20"/>
                <w:color w:val="auto"/>
              </w:rPr>
            </w:pPr>
            <w:r>
              <w:rPr>
                <w:rFonts w:ascii="Times New Roman" w:cs="Times New Roman" w:eastAsia="Times New Roman" w:hAnsi="Times New Roman"/>
                <w:sz w:val="8"/>
                <w:szCs w:val="8"/>
                <w:color w:val="auto"/>
              </w:rPr>
              <w:t>** admitted in England and Wales</w:t>
            </w:r>
          </w:p>
        </w:tc>
        <w:tc>
          <w:tcPr>
            <w:tcW w:w="0" w:type="dxa"/>
            <w:vAlign w:val="bottom"/>
          </w:tcPr>
          <w:p>
            <w:pPr>
              <w:spacing w:after="0"/>
              <w:rPr>
                <w:sz w:val="1"/>
                <w:szCs w:val="1"/>
                <w:color w:val="auto"/>
              </w:rPr>
            </w:pPr>
          </w:p>
        </w:tc>
      </w:tr>
      <w:tr>
        <w:trPr>
          <w:trHeight w:val="259"/>
        </w:trPr>
        <w:tc>
          <w:tcPr>
            <w:tcW w:w="2700" w:type="dxa"/>
            <w:vAlign w:val="bottom"/>
          </w:tcPr>
          <w:p>
            <w:pPr>
              <w:spacing w:after="0"/>
              <w:rPr>
                <w:sz w:val="22"/>
                <w:szCs w:val="22"/>
                <w:color w:val="auto"/>
              </w:rPr>
            </w:pPr>
          </w:p>
        </w:tc>
        <w:tc>
          <w:tcPr>
            <w:tcW w:w="292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Cecilia Li</w:t>
            </w:r>
          </w:p>
        </w:tc>
        <w:tc>
          <w:tcPr>
            <w:tcW w:w="2260" w:type="dxa"/>
            <w:vAlign w:val="bottom"/>
            <w:vMerge w:val="continue"/>
          </w:tcPr>
          <w:p>
            <w:pPr>
              <w:spacing w:after="0"/>
              <w:rPr>
                <w:sz w:val="22"/>
                <w:szCs w:val="22"/>
                <w:color w:val="auto"/>
              </w:rPr>
            </w:pPr>
          </w:p>
        </w:tc>
        <w:tc>
          <w:tcPr>
            <w:tcW w:w="336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 not ordinarily resident in Hong Kong</w:t>
            </w:r>
          </w:p>
        </w:tc>
        <w:tc>
          <w:tcPr>
            <w:tcW w:w="0" w:type="dxa"/>
            <w:vAlign w:val="bottom"/>
          </w:tcPr>
          <w:p>
            <w:pPr>
              <w:spacing w:after="0"/>
              <w:rPr>
                <w:sz w:val="1"/>
                <w:szCs w:val="1"/>
                <w:color w:val="auto"/>
              </w:rPr>
            </w:pPr>
          </w:p>
        </w:tc>
      </w:tr>
      <w:tr>
        <w:trPr>
          <w:trHeight w:val="567"/>
        </w:trPr>
        <w:tc>
          <w:tcPr>
            <w:tcW w:w="27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type w:val="continuous"/>
        </w:sectPr>
      </w:pPr>
    </w:p>
    <w:bookmarkStart w:id="138" w:name="page139"/>
    <w:bookmarkEnd w:id="138"/>
    <w:p>
      <w:pPr>
        <w:jc w:val="both"/>
        <w:ind w:left="1300" w:hanging="644"/>
        <w:spacing w:after="0" w:line="268"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to purchase Ordinary Shares, Preferred Shares, Debt Securities or other securities of the Company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xml:space="preserve">) to be issued under a rights agreement or similar agreement to be entered into between the Company and one or more rights agent, if any (the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Document</w:t>
      </w:r>
      <w:r>
        <w:rPr>
          <w:rFonts w:ascii="Times New Roman" w:cs="Times New Roman" w:eastAsia="Times New Roman" w:hAnsi="Times New Roman"/>
          <w:sz w:val="18"/>
          <w:szCs w:val="18"/>
          <w:color w:val="auto"/>
        </w:rPr>
        <w:t>); and/or</w:t>
      </w:r>
    </w:p>
    <w:p>
      <w:pPr>
        <w:spacing w:after="0" w:line="174"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units comprising any combination of Ordinary Shares, Preferred Shares, Warrants, Debt Securities, Rights or other securities of the Company (the </w:t>
      </w:r>
      <w:r>
        <w:rPr>
          <w:rFonts w:ascii="Times New Roman" w:cs="Times New Roman" w:eastAsia="Times New Roman" w:hAnsi="Times New Roman"/>
          <w:sz w:val="18"/>
          <w:szCs w:val="18"/>
          <w:b w:val="1"/>
          <w:bCs w:val="1"/>
          <w:color w:val="auto"/>
        </w:rPr>
        <w:t>Units</w:t>
      </w:r>
      <w:r>
        <w:rPr>
          <w:rFonts w:ascii="Times New Roman" w:cs="Times New Roman" w:eastAsia="Times New Roman" w:hAnsi="Times New Roman"/>
          <w:sz w:val="18"/>
          <w:szCs w:val="18"/>
          <w:color w:val="auto"/>
        </w:rPr>
        <w:t xml:space="preserve">) to be issued under a unit agreement or similar agreement between the Company and a unit agent to be specified therein, if any (the </w:t>
      </w:r>
      <w:r>
        <w:rPr>
          <w:rFonts w:ascii="Times New Roman" w:cs="Times New Roman" w:eastAsia="Times New Roman" w:hAnsi="Times New Roman"/>
          <w:sz w:val="18"/>
          <w:szCs w:val="18"/>
          <w:b w:val="1"/>
          <w:bCs w:val="1"/>
          <w:color w:val="auto"/>
        </w:rPr>
        <w:t>Unit Document</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Registration Statement also relates to the resale by certain selling shareholders (the </w:t>
      </w:r>
      <w:r>
        <w:rPr>
          <w:rFonts w:ascii="Times New Roman" w:cs="Times New Roman" w:eastAsia="Times New Roman" w:hAnsi="Times New Roman"/>
          <w:sz w:val="18"/>
          <w:szCs w:val="18"/>
          <w:b w:val="1"/>
          <w:bCs w:val="1"/>
          <w:color w:val="auto"/>
        </w:rPr>
        <w:t>Selling Shareholders</w:t>
      </w:r>
      <w:r>
        <w:rPr>
          <w:rFonts w:ascii="Times New Roman" w:cs="Times New Roman" w:eastAsia="Times New Roman" w:hAnsi="Times New Roman"/>
          <w:sz w:val="18"/>
          <w:szCs w:val="18"/>
          <w:color w:val="auto"/>
        </w:rPr>
        <w:t xml:space="preserve">) described therein of an aggregate of 215,942 Ordinary Shares (the </w:t>
      </w:r>
      <w:r>
        <w:rPr>
          <w:rFonts w:ascii="Times New Roman" w:cs="Times New Roman" w:eastAsia="Times New Roman" w:hAnsi="Times New Roman"/>
          <w:sz w:val="18"/>
          <w:szCs w:val="18"/>
          <w:b w:val="1"/>
          <w:bCs w:val="1"/>
          <w:color w:val="auto"/>
        </w:rPr>
        <w:t>Resale Shares</w:t>
      </w:r>
      <w:r>
        <w:rPr>
          <w:rFonts w:ascii="Times New Roman" w:cs="Times New Roman" w:eastAsia="Times New Roman" w:hAnsi="Times New Roman"/>
          <w:sz w:val="18"/>
          <w:szCs w:val="18"/>
          <w:color w:val="auto"/>
        </w:rPr>
        <w:t xml:space="preserve">). The Resale Shares were issued pursuant to two subscription agreements dated 2 October 2025 and 15 November 2025, respectively (together, the </w:t>
      </w:r>
      <w:r>
        <w:rPr>
          <w:rFonts w:ascii="Times New Roman" w:cs="Times New Roman" w:eastAsia="Times New Roman" w:hAnsi="Times New Roman"/>
          <w:sz w:val="18"/>
          <w:szCs w:val="18"/>
          <w:b w:val="1"/>
          <w:bCs w:val="1"/>
          <w:color w:val="auto"/>
        </w:rPr>
        <w:t>Subscription Agreements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Warrant Document, Debt Document, Rights Document and Unit Document are referred to herein collectively as </w:t>
      </w:r>
      <w:r>
        <w:rPr>
          <w:rFonts w:ascii="Times New Roman" w:cs="Times New Roman" w:eastAsia="Times New Roman" w:hAnsi="Times New Roman"/>
          <w:sz w:val="18"/>
          <w:szCs w:val="18"/>
          <w:b w:val="1"/>
          <w:bCs w:val="1"/>
          <w:color w:val="auto"/>
        </w:rPr>
        <w:t>Governing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Warrants, the Debt Securities, the Rights and the Units are collectively referred to herein as the </w:t>
      </w:r>
      <w:r>
        <w:rPr>
          <w:rFonts w:ascii="Times New Roman" w:cs="Times New Roman" w:eastAsia="Times New Roman" w:hAnsi="Times New Roman"/>
          <w:sz w:val="18"/>
          <w:szCs w:val="18"/>
          <w:b w:val="1"/>
          <w:bCs w:val="1"/>
          <w:color w:val="auto"/>
        </w:rPr>
        <w:t>Non-Equity Securities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been advised that the Securities are to be offered on a delayed basis pursuant to Rule 415 under the Act, as set forth in the Registration Statement, and that this opinion is required to be furnished in accordance with the requirements of Item 601 (b)(5) of Regulation S-K under the Act. No opinion is expressed herein as to any matter pertaining to the contents of the Registration Statement other than as expressly stated herein with respect to the issue of the Securities.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Unless a contrary intention appears, all capitalised terms used in this opinion have the respective meanings set forth in the Documents. A reference to a Schedule is a reference to a schedule to this opinion and the headings herein are for convenience only and do not affect the construction of this opinion.</w:t>
      </w:r>
    </w:p>
    <w:p>
      <w:pPr>
        <w:spacing w:after="0" w:line="158" w:lineRule="exact"/>
        <w:rPr>
          <w:sz w:val="20"/>
          <w:szCs w:val="20"/>
          <w:color w:val="auto"/>
        </w:rPr>
      </w:pPr>
    </w:p>
    <w:p>
      <w:pPr>
        <w:ind w:left="660" w:hanging="652"/>
        <w:spacing w:after="0"/>
        <w:tabs>
          <w:tab w:leader="none" w:pos="660" w:val="left"/>
        </w:tabs>
        <w:numPr>
          <w:ilvl w:val="0"/>
          <w:numId w:val="1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Documents examined</w:t>
      </w:r>
    </w:p>
    <w:p>
      <w:pPr>
        <w:spacing w:after="0" w:line="225"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For the purposes of giving this opinion, we have examined originals, copies or drafts of the documents set out below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In addition, we have examined the corporate and other documents and conducted the searches listed below. We have not made any searches or enquiries concerning, and have not examined any documents entered into by or affecting the Company or any other person, save for the searches, enquiries and examinations expressly referred to below:</w:t>
      </w:r>
    </w:p>
    <w:p>
      <w:pPr>
        <w:spacing w:after="0" w:line="180" w:lineRule="exact"/>
        <w:rPr>
          <w:rFonts w:ascii="Times New Roman" w:cs="Times New Roman" w:eastAsia="Times New Roman" w:hAnsi="Times New Roman"/>
          <w:sz w:val="18"/>
          <w:szCs w:val="18"/>
          <w:b w:val="1"/>
          <w:bCs w:val="1"/>
          <w:color w:val="auto"/>
        </w:rPr>
      </w:pPr>
    </w:p>
    <w:p>
      <w:pPr>
        <w:ind w:left="1300" w:hanging="644"/>
        <w:spacing w:after="0" w:line="282"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constitutional documents and public records of the Company obtained from the Registry of Corporate Affairs in the British Virgin Islands on 21 November 2024 (the </w:t>
      </w:r>
      <w:r>
        <w:rPr>
          <w:rFonts w:ascii="Times New Roman" w:cs="Times New Roman" w:eastAsia="Times New Roman" w:hAnsi="Times New Roman"/>
          <w:sz w:val="18"/>
          <w:szCs w:val="18"/>
          <w:b w:val="1"/>
          <w:bCs w:val="1"/>
          <w:color w:val="auto"/>
        </w:rPr>
        <w:t>Company Registry Records</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public information revealed from a search of the electronic records of the Civil Division and the Commercial Division of the Registry of the High Court and of the Court of Appeal (Virgin Islands) Register, each from 1 January 2000, as maintained on the Judicial Enforcement Management System (the </w:t>
      </w:r>
      <w:r>
        <w:rPr>
          <w:rFonts w:ascii="Times New Roman" w:cs="Times New Roman" w:eastAsia="Times New Roman" w:hAnsi="Times New Roman"/>
          <w:sz w:val="18"/>
          <w:szCs w:val="18"/>
          <w:b w:val="1"/>
          <w:bCs w:val="1"/>
          <w:color w:val="auto"/>
        </w:rPr>
        <w:t>High Court Database</w:t>
      </w:r>
      <w:r>
        <w:rPr>
          <w:rFonts w:ascii="Times New Roman" w:cs="Times New Roman" w:eastAsia="Times New Roman" w:hAnsi="Times New Roman"/>
          <w:sz w:val="18"/>
          <w:szCs w:val="18"/>
          <w:color w:val="auto"/>
        </w:rPr>
        <w:t xml:space="preserve">) by the Registry of the High Court of the Virgin Islands on 21 November 2024 (the </w:t>
      </w:r>
      <w:r>
        <w:rPr>
          <w:rFonts w:ascii="Times New Roman" w:cs="Times New Roman" w:eastAsia="Times New Roman" w:hAnsi="Times New Roman"/>
          <w:sz w:val="18"/>
          <w:szCs w:val="18"/>
          <w:b w:val="1"/>
          <w:bCs w:val="1"/>
          <w:color w:val="auto"/>
        </w:rPr>
        <w:t>Court Records</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9" w:name="page140"/>
    <w:bookmarkEnd w:id="139"/>
    <w:p>
      <w:pPr>
        <w:ind w:left="1300" w:hanging="644"/>
        <w:spacing w:after="0" w:line="282"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Registry Records and the Court Records each as updated by update searches on 25 March 2026 (the Company Registry Records and the Court Records together, and as updated, the </w:t>
      </w:r>
      <w:r>
        <w:rPr>
          <w:rFonts w:ascii="Times New Roman" w:cs="Times New Roman" w:eastAsia="Times New Roman" w:hAnsi="Times New Roman"/>
          <w:sz w:val="18"/>
          <w:szCs w:val="18"/>
          <w:b w:val="1"/>
          <w:bCs w:val="1"/>
          <w:color w:val="auto"/>
        </w:rPr>
        <w:t>Public Records</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incumbency in respect of the Company dated 25 March 2026 (the </w:t>
      </w:r>
      <w:r>
        <w:rPr>
          <w:rFonts w:ascii="Times New Roman" w:cs="Times New Roman" w:eastAsia="Times New Roman" w:hAnsi="Times New Roman"/>
          <w:sz w:val="18"/>
          <w:szCs w:val="18"/>
          <w:b w:val="1"/>
          <w:bCs w:val="1"/>
          <w:color w:val="auto"/>
        </w:rPr>
        <w:t>Certificate of Incumbency</w:t>
      </w:r>
      <w:r>
        <w:rPr>
          <w:rFonts w:ascii="Times New Roman" w:cs="Times New Roman" w:eastAsia="Times New Roman" w:hAnsi="Times New Roman"/>
          <w:sz w:val="18"/>
          <w:szCs w:val="18"/>
          <w:color w:val="auto"/>
        </w:rPr>
        <w:t>) issued by the registered agent of the Company;</w:t>
      </w:r>
    </w:p>
    <w:p>
      <w:pPr>
        <w:spacing w:after="0" w:line="154"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good standing dated 24 March 2026 (the </w:t>
      </w:r>
      <w:r>
        <w:rPr>
          <w:rFonts w:ascii="Times New Roman" w:cs="Times New Roman" w:eastAsia="Times New Roman" w:hAnsi="Times New Roman"/>
          <w:sz w:val="18"/>
          <w:szCs w:val="18"/>
          <w:b w:val="1"/>
          <w:bCs w:val="1"/>
          <w:color w:val="auto"/>
        </w:rPr>
        <w:t>Good Standing Certificate</w:t>
      </w:r>
      <w:r>
        <w:rPr>
          <w:rFonts w:ascii="Times New Roman" w:cs="Times New Roman" w:eastAsia="Times New Roman" w:hAnsi="Times New Roman"/>
          <w:sz w:val="18"/>
          <w:szCs w:val="18"/>
          <w:color w:val="auto"/>
        </w:rPr>
        <w:t>) issued by the Registry of Corporate Affairs in the British Virgin Islands in respect of the Company;</w:t>
      </w:r>
    </w:p>
    <w:p>
      <w:pPr>
        <w:spacing w:after="0" w:line="154"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register of directors of the Company provided to us on 19 March 2026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00" w:hanging="644"/>
        <w:spacing w:after="0" w:line="286" w:lineRule="auto"/>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written resolutions of all the directors of the Company passed on 14 November 2025 and 19 March 2026 (together,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Resolutions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Subscription Agreements.</w:t>
      </w:r>
    </w:p>
    <w:p>
      <w:pPr>
        <w:spacing w:after="0" w:line="221" w:lineRule="exact"/>
        <w:rPr>
          <w:sz w:val="20"/>
          <w:szCs w:val="20"/>
          <w:color w:val="auto"/>
        </w:rPr>
      </w:pPr>
    </w:p>
    <w:p>
      <w:pPr>
        <w:ind w:left="660" w:hanging="652"/>
        <w:spacing w:after="0"/>
        <w:tabs>
          <w:tab w:leader="none" w:pos="660" w:val="left"/>
        </w:tabs>
        <w:numPr>
          <w:ilvl w:val="0"/>
          <w:numId w:val="1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giving this opinion we have relied upon the assumptions set forth in Schedule 1 without having carried out any independent investigation or verification in respect of those assumptions.</w:t>
      </w:r>
    </w:p>
    <w:p>
      <w:pPr>
        <w:spacing w:after="0" w:line="158" w:lineRule="exact"/>
        <w:rPr>
          <w:sz w:val="20"/>
          <w:szCs w:val="20"/>
          <w:color w:val="auto"/>
        </w:rPr>
      </w:pPr>
    </w:p>
    <w:p>
      <w:pPr>
        <w:ind w:left="660" w:hanging="652"/>
        <w:spacing w:after="0"/>
        <w:tabs>
          <w:tab w:leader="none" w:pos="660" w:val="left"/>
        </w:tabs>
        <w:numPr>
          <w:ilvl w:val="0"/>
          <w:numId w:val="1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the basis of the examinations and assumptions referred to above and subject to the qualifications set forth in Schedule 2 and the limitations set forth below, we are of the opinion that:</w:t>
      </w:r>
    </w:p>
    <w:p>
      <w:pPr>
        <w:spacing w:after="0" w:line="15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status</w:t>
      </w:r>
    </w:p>
    <w:p>
      <w:pPr>
        <w:spacing w:after="0" w:line="225" w:lineRule="exact"/>
        <w:rPr>
          <w:sz w:val="20"/>
          <w:szCs w:val="20"/>
          <w:color w:val="auto"/>
        </w:rPr>
      </w:pPr>
    </w:p>
    <w:p>
      <w:pPr>
        <w:jc w:val="both"/>
        <w:ind w:left="1300" w:hanging="644"/>
        <w:spacing w:after="0" w:line="268" w:lineRule="auto"/>
        <w:tabs>
          <w:tab w:leader="none" w:pos="13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is a company duly incorporated with limited liability under the BVI Business Companies Act, 2004 (the </w:t>
      </w:r>
      <w:r>
        <w:rPr>
          <w:rFonts w:ascii="Times New Roman" w:cs="Times New Roman" w:eastAsia="Times New Roman" w:hAnsi="Times New Roman"/>
          <w:sz w:val="18"/>
          <w:szCs w:val="18"/>
          <w:b w:val="1"/>
          <w:bCs w:val="1"/>
          <w:color w:val="auto"/>
        </w:rPr>
        <w:t>BCA</w:t>
      </w:r>
      <w:r>
        <w:rPr>
          <w:rFonts w:ascii="Times New Roman" w:cs="Times New Roman" w:eastAsia="Times New Roman" w:hAnsi="Times New Roman"/>
          <w:sz w:val="18"/>
          <w:szCs w:val="18"/>
          <w:color w:val="auto"/>
        </w:rPr>
        <w:t>) on 3 October 2023, and is validly existing and, based solely on the Good Standing Certificate, is in good standing under the laws of the British Virgin Islands. It is a separate legal entity and subject to suit in its own name and has the capacity to sue in its own name.</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Issuance of shares</w:t>
      </w:r>
    </w:p>
    <w:p>
      <w:pPr>
        <w:spacing w:after="0" w:line="229" w:lineRule="exact"/>
        <w:rPr>
          <w:sz w:val="20"/>
          <w:szCs w:val="20"/>
          <w:color w:val="auto"/>
        </w:rPr>
      </w:pPr>
    </w:p>
    <w:p>
      <w:pPr>
        <w:ind w:left="1300" w:hanging="644"/>
        <w:spacing w:after="0"/>
        <w:tabs>
          <w:tab w:leader="none" w:pos="130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Ordinary Shares, when:</w:t>
      </w:r>
    </w:p>
    <w:p>
      <w:pPr>
        <w:spacing w:after="0" w:line="221" w:lineRule="exact"/>
        <w:rPr>
          <w:rFonts w:ascii="Times New Roman" w:cs="Times New Roman" w:eastAsia="Times New Roman" w:hAnsi="Times New Roman"/>
          <w:sz w:val="18"/>
          <w:szCs w:val="18"/>
          <w:color w:val="auto"/>
        </w:rPr>
      </w:pPr>
    </w:p>
    <w:p>
      <w:pPr>
        <w:ind w:left="1960" w:hanging="656"/>
        <w:spacing w:after="0" w:line="286" w:lineRule="auto"/>
        <w:tabs>
          <w:tab w:leader="none" w:pos="196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of directors of the Company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has taken all necessary corporate actions to approve the issuance and allotment of the Ordinary Shares, the terms of the offering of the Ordinary Shares and all related matters;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left="1304" w:hanging="656"/>
        <w:spacing w:after="0" w:line="255" w:lineRule="auto"/>
        <w:tabs>
          <w:tab w:leader="none" w:pos="130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the provisions of the applicable definitive purchase, underwriting or similar agreement approved by the Board have been satisfied and payment of the consideration specified therein (being not less than the par value of the Ordinary Shares) has been made, or (B) if such Ordinary Shares are issuable upon conversion, exchange, redemption, repurchase or exercise of any other security, the terms of such security, the memorandum and articles of association of the Company (the </w:t>
      </w:r>
      <w:r>
        <w:rPr>
          <w:rFonts w:ascii="Times New Roman" w:cs="Times New Roman" w:eastAsia="Times New Roman" w:hAnsi="Times New Roman"/>
          <w:sz w:val="18"/>
          <w:szCs w:val="18"/>
          <w:b w:val="1"/>
          <w:bCs w:val="1"/>
          <w:color w:val="auto"/>
        </w:rPr>
        <w:t>Memorandum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Articles</w:t>
      </w:r>
      <w:r>
        <w:rPr>
          <w:rFonts w:ascii="Times New Roman" w:cs="Times New Roman" w:eastAsia="Times New Roman" w:hAnsi="Times New Roman"/>
          <w:sz w:val="18"/>
          <w:szCs w:val="18"/>
          <w:color w:val="auto"/>
        </w:rPr>
        <w:t>) or the instrument governing such security providing for such conversion, exchange, redemption, repurchase or exercise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Ordinary Shares, as approved by the Board, have been satisfied and the consideration approved by the Board (being not less than the par value of the Ordinary Shares) received; and</w:t>
      </w:r>
    </w:p>
    <w:p>
      <w:pPr>
        <w:spacing w:after="0" w:line="188"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has been made in the register of members of the Company reflecting such issuance of Ordinary Shares, in each case in accordance with the Memorandum and Articles,</w:t>
      </w:r>
    </w:p>
    <w:p>
      <w:pPr>
        <w:spacing w:after="0" w:line="16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the Ordinary Shares will be recognised as having been duly authorised and validly issued, fully paid and non-assessable.</w:t>
      </w:r>
    </w:p>
    <w:p>
      <w:pPr>
        <w:spacing w:after="0" w:line="225" w:lineRule="exact"/>
        <w:rPr>
          <w:sz w:val="20"/>
          <w:szCs w:val="20"/>
          <w:color w:val="auto"/>
        </w:rPr>
      </w:pPr>
    </w:p>
    <w:p>
      <w:pPr>
        <w:ind w:left="644" w:hanging="644"/>
        <w:spacing w:after="0"/>
        <w:tabs>
          <w:tab w:leader="none" w:pos="644"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Preferred Shares,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or the shareholders of the Company have taken all necessary corporate actions to approve the creation, issuance and the terms of the Preferred Shares, the terms of the offering of the Preferred Shares and all related matters;</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56" w:lineRule="auto"/>
        <w:tabs>
          <w:tab w:leader="none" w:pos="130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(A) the provisions of the applicable definitive purchase, underwriting or similar agreement approved by the Board have been satisfied and payment of the consideration specified therein (being not less than the par value of the Preferred Shares) has been made, or (B) if such Preferred Shares are issuable upon conversion, exchange, redemption, repurchase or exercise of any other security, the terms of such security, the Memorandum and Articles or the instrument governing such security providing for such conversion, exchange, redemption, repurchase or exercise for Preferred Shares, as approved by the Board, have been satisfied and the consideration approved by the Board (being not less than the par value of the Preferred Shares) received;</w:t>
      </w:r>
    </w:p>
    <w:p>
      <w:pPr>
        <w:spacing w:after="0" w:line="187"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valid entry has been made in the register of members of the Company reflecting such issuance of Preferred Shares, in each case in accordance with the Memorandum and Articles,</w:t>
      </w:r>
    </w:p>
    <w:p>
      <w:pPr>
        <w:spacing w:after="0" w:line="162"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the Preferred Shares will be recognised as having been duly authorised and validly issued, fully paid and non-assessable.</w:t>
      </w:r>
    </w:p>
    <w:p>
      <w:pPr>
        <w:spacing w:after="0" w:line="225" w:lineRule="exact"/>
        <w:rPr>
          <w:sz w:val="20"/>
          <w:szCs w:val="20"/>
          <w:color w:val="auto"/>
        </w:rPr>
      </w:pPr>
    </w:p>
    <w:p>
      <w:pPr>
        <w:jc w:val="both"/>
        <w:ind w:left="644" w:hanging="644"/>
        <w:spacing w:after="0" w:line="266" w:lineRule="auto"/>
        <w:tabs>
          <w:tab w:leader="none" w:pos="64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Resale Shares, the issue and allotment of the Resale Shares offered and sold by the Selling Shareholders pursuant to the provisions of the Subscription Agreements (as applicable) have been duly authorised, and the Resale Shares as issued by the Company are validly issued, fully paid and non-assessable.</w:t>
      </w:r>
    </w:p>
    <w:p>
      <w:pPr>
        <w:spacing w:after="0" w:line="392"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1" w:name="page142"/>
    <w:bookmarkEnd w:id="141"/>
    <w:p>
      <w:pPr>
        <w:ind w:left="4"/>
        <w:spacing w:after="0"/>
        <w:rPr>
          <w:sz w:val="20"/>
          <w:szCs w:val="20"/>
          <w:color w:val="auto"/>
        </w:rPr>
      </w:pPr>
      <w:r>
        <w:rPr>
          <w:rFonts w:ascii="Times New Roman" w:cs="Times New Roman" w:eastAsia="Times New Roman" w:hAnsi="Times New Roman"/>
          <w:sz w:val="18"/>
          <w:szCs w:val="18"/>
          <w:b w:val="1"/>
          <w:bCs w:val="1"/>
          <w:color w:val="auto"/>
        </w:rPr>
        <w:t>Valid Issuance of Warrants</w:t>
      </w:r>
    </w:p>
    <w:p>
      <w:pPr>
        <w:spacing w:after="0" w:line="229" w:lineRule="exact"/>
        <w:rPr>
          <w:sz w:val="20"/>
          <w:szCs w:val="20"/>
          <w:color w:val="auto"/>
        </w:rPr>
      </w:pPr>
    </w:p>
    <w:p>
      <w:pPr>
        <w:ind w:left="644" w:hanging="644"/>
        <w:spacing w:after="0"/>
        <w:tabs>
          <w:tab w:leader="none" w:pos="64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Warrants to be issued,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Warrants and to approve the issue thereof, the terms of the offering thereof and all related matters;</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 Document relating to the Warrants shall have been duly authorized and validly executed and unconditionally delivered by the Company and the warrant agent thereunder; and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the Warrants have been duly executed, countersigned, registered and delivered in accordance with the Warrant Document relating to the Warrants and the applicable definitive purchase, underwriting or similar agreement approved by the Board upon payment of the consideration therefor provided therein,</w:t>
      </w:r>
    </w:p>
    <w:p>
      <w:pPr>
        <w:spacing w:after="0" w:line="176"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the Warrants will be duly authorized and validly issued and will constitute legal, valid and binding obligations of the Company.</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Issuance of Debt Securities</w:t>
      </w:r>
    </w:p>
    <w:p>
      <w:pPr>
        <w:spacing w:after="0" w:line="229" w:lineRule="exact"/>
        <w:rPr>
          <w:sz w:val="20"/>
          <w:szCs w:val="20"/>
          <w:color w:val="auto"/>
        </w:rPr>
      </w:pPr>
    </w:p>
    <w:p>
      <w:pPr>
        <w:ind w:left="644" w:hanging="644"/>
        <w:spacing w:after="0"/>
        <w:tabs>
          <w:tab w:leader="none" w:pos="644"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Debt Securities to be issued,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Debt Securities and to approve the issue thereof, the terms of the offering thereof and all related matters;</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Document relating to the Debt Securities shall have been duly authorized and validly executed and unconditionally delivered by and on behalf of the Company and all the relevant parties thereunder; and</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Securities issued thereunder have been duly executed and delivered on behalf of the Company and authenticated in the manner set forth in the applicable Debt Document relating to such issue of Debt Securities and delivered against due payment therefor pursuant to, and in accordance with, the terms of the Registration Statement and any relevant prospectus supplement,</w:t>
      </w:r>
    </w:p>
    <w:p>
      <w:pPr>
        <w:spacing w:after="0" w:line="176"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the Debt Securities will have been duly executed, issued and delivered.</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Valid Issuance of Rights</w:t>
      </w:r>
    </w:p>
    <w:p>
      <w:pPr>
        <w:spacing w:after="0" w:line="229" w:lineRule="exact"/>
        <w:rPr>
          <w:sz w:val="20"/>
          <w:szCs w:val="20"/>
          <w:color w:val="auto"/>
        </w:rPr>
      </w:pPr>
    </w:p>
    <w:p>
      <w:pPr>
        <w:ind w:left="644" w:hanging="644"/>
        <w:spacing w:after="0"/>
        <w:tabs>
          <w:tab w:leader="none" w:pos="644"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Rights to be issued,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Rights and to approve the issue thereof, the terms of the offering thereof and all related matters;</w:t>
      </w:r>
    </w:p>
    <w:p>
      <w:pPr>
        <w:spacing w:after="0" w:line="161"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Rights Document relating to the Rights shall have been duly authorised and validly executed and unconditionally delivered by the Company and the financial institution designated as rights agent thereunder; and</w:t>
      </w:r>
    </w:p>
    <w:p>
      <w:pPr>
        <w:spacing w:after="0" w:line="161" w:lineRule="exact"/>
        <w:rPr>
          <w:rFonts w:ascii="Times New Roman" w:cs="Times New Roman" w:eastAsia="Times New Roman" w:hAnsi="Times New Roman"/>
          <w:sz w:val="18"/>
          <w:szCs w:val="18"/>
          <w:color w:val="auto"/>
        </w:rPr>
      </w:pPr>
    </w:p>
    <w:p>
      <w:pPr>
        <w:jc w:val="both"/>
        <w:ind w:left="1304" w:right="20" w:hanging="656"/>
        <w:spacing w:after="0" w:line="266" w:lineRule="auto"/>
        <w:tabs>
          <w:tab w:leader="none" w:pos="13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certificates representing the Rights shall have been duly executed, countersigned, issued, registered and delivered in accordance with the Rights Document relating to the Rights, and the applicable definitive purchase, underwriting or similar agreement approved by the Board upon payment of the consideration therefor provided therein,</w:t>
      </w:r>
    </w:p>
    <w:p>
      <w:pPr>
        <w:spacing w:after="0" w:line="176"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the Rights will be duly authorised and validly issued and will constitute legal, valid and binding obligations of the Company.</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2" w:name="page143"/>
    <w:bookmarkEnd w:id="142"/>
    <w:p>
      <w:pPr>
        <w:ind w:left="4"/>
        <w:spacing w:after="0"/>
        <w:rPr>
          <w:sz w:val="20"/>
          <w:szCs w:val="20"/>
          <w:color w:val="auto"/>
        </w:rPr>
      </w:pPr>
      <w:r>
        <w:rPr>
          <w:rFonts w:ascii="Times New Roman" w:cs="Times New Roman" w:eastAsia="Times New Roman" w:hAnsi="Times New Roman"/>
          <w:sz w:val="18"/>
          <w:szCs w:val="18"/>
          <w:b w:val="1"/>
          <w:bCs w:val="1"/>
          <w:color w:val="auto"/>
        </w:rPr>
        <w:t>Valid Issuance of Units</w:t>
      </w:r>
    </w:p>
    <w:p>
      <w:pPr>
        <w:spacing w:after="0" w:line="229" w:lineRule="exact"/>
        <w:rPr>
          <w:sz w:val="20"/>
          <w:szCs w:val="20"/>
          <w:color w:val="auto"/>
        </w:rPr>
      </w:pPr>
    </w:p>
    <w:p>
      <w:pPr>
        <w:ind w:left="644" w:hanging="644"/>
        <w:spacing w:after="0"/>
        <w:tabs>
          <w:tab w:leader="none" w:pos="644"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each issue of Units, when:</w:t>
      </w:r>
    </w:p>
    <w:p>
      <w:pPr>
        <w:spacing w:after="0" w:line="22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has taken all necessary corporate actions to authorise and approve the creation and terms of the Units and to approve the issue of the Securities which are components thereof, the terms of the offering thereof and all related matters;</w:t>
      </w:r>
    </w:p>
    <w:p>
      <w:pPr>
        <w:spacing w:after="0" w:line="161" w:lineRule="exact"/>
        <w:rPr>
          <w:rFonts w:ascii="Times New Roman" w:cs="Times New Roman" w:eastAsia="Times New Roman" w:hAnsi="Times New Roman"/>
          <w:sz w:val="18"/>
          <w:szCs w:val="18"/>
          <w:color w:val="auto"/>
        </w:rPr>
      </w:pPr>
    </w:p>
    <w:p>
      <w:pPr>
        <w:ind w:left="1304" w:right="20" w:hanging="656"/>
        <w:spacing w:after="0" w:line="282" w:lineRule="auto"/>
        <w:tabs>
          <w:tab w:leader="none" w:pos="13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Unit Document relating to the Units shall have been duly authorised and validly executed and unconditionally delivered by the Company and the financial institution designated as unit agent thereunder;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Warrants which are components of the Units, a Warrant Document shall have been duly authorized and validly executed and unconditionally delivered by the Company and the warrant agent thereunder, if any, in respect of any Warrants which are components of the Units;</w:t>
      </w:r>
    </w:p>
    <w:p>
      <w:pPr>
        <w:spacing w:after="0" w:line="175" w:lineRule="exact"/>
        <w:rPr>
          <w:rFonts w:ascii="Times New Roman" w:cs="Times New Roman" w:eastAsia="Times New Roman" w:hAnsi="Times New Roman"/>
          <w:sz w:val="18"/>
          <w:szCs w:val="18"/>
          <w:color w:val="auto"/>
        </w:rPr>
      </w:pPr>
    </w:p>
    <w:p>
      <w:pPr>
        <w:ind w:left="1304" w:hanging="656"/>
        <w:spacing w:after="0" w:line="282" w:lineRule="auto"/>
        <w:tabs>
          <w:tab w:leader="none" w:pos="13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Debt Securities which are components of the Units, the Debt Document shall have been duly authorized and validly executed and unconditionally delivered by the Company and all relevant parties thereunder;</w:t>
      </w:r>
    </w:p>
    <w:p>
      <w:pPr>
        <w:spacing w:after="0" w:line="161" w:lineRule="exact"/>
        <w:rPr>
          <w:rFonts w:ascii="Times New Roman" w:cs="Times New Roman" w:eastAsia="Times New Roman" w:hAnsi="Times New Roman"/>
          <w:sz w:val="18"/>
          <w:szCs w:val="18"/>
          <w:color w:val="auto"/>
        </w:rPr>
      </w:pPr>
    </w:p>
    <w:p>
      <w:pPr>
        <w:jc w:val="both"/>
        <w:ind w:left="1304" w:hanging="656"/>
        <w:spacing w:after="0" w:line="266" w:lineRule="auto"/>
        <w:tabs>
          <w:tab w:leader="none" w:pos="13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any Equity Securities which are components of the Units, valid entry has been made in the register of members of the Company reflecting such issuance of the Equity Securities, in each case in accordance with the Memorandum and Articles; and</w:t>
      </w:r>
    </w:p>
    <w:p>
      <w:pPr>
        <w:spacing w:after="0" w:line="175" w:lineRule="exact"/>
        <w:rPr>
          <w:rFonts w:ascii="Times New Roman" w:cs="Times New Roman" w:eastAsia="Times New Roman" w:hAnsi="Times New Roman"/>
          <w:sz w:val="18"/>
          <w:szCs w:val="18"/>
          <w:color w:val="auto"/>
        </w:rPr>
      </w:pPr>
    </w:p>
    <w:p>
      <w:pPr>
        <w:jc w:val="both"/>
        <w:ind w:left="1304" w:hanging="656"/>
        <w:spacing w:after="0" w:line="255" w:lineRule="auto"/>
        <w:tabs>
          <w:tab w:leader="none" w:pos="1304"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Units and any Securities which are components of the Units shall have been duly executed, countersigned, authenticated, issued, registered and delivered (in each case, as and when applicable), in accordance with the provisions of (A) the applicable Unit Document relating to the Units, (B) the applicable Warrant Document relating to any Warrants which are components of the Units, (C) the applicable Debt Document relating to any Debt Securities which are components of the Units, (D) the Memorandum and Articles and (E) the applicable definitive purchase, underwriting or similar agreement approved by the Board, and upon payment of the consideration therefor provided therein (being, in respect of the Equity Securities which are components of the Units, not less than the par value of such Equity Securities),</w:t>
      </w:r>
    </w:p>
    <w:p>
      <w:pPr>
        <w:spacing w:after="0" w:line="189"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the Units will be duly authorised and validly issued and will constitute legal, valid and binding obligations of the Company.</w:t>
      </w:r>
    </w:p>
    <w:p>
      <w:pPr>
        <w:spacing w:after="0" w:line="200" w:lineRule="exact"/>
        <w:rPr>
          <w:sz w:val="20"/>
          <w:szCs w:val="20"/>
          <w:color w:val="auto"/>
        </w:rPr>
      </w:pPr>
    </w:p>
    <w:p>
      <w:pPr>
        <w:spacing w:after="0" w:line="241"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0" w:right="339" w:bottom="1440" w:gutter="0" w:footer="0" w:header="0"/>
        </w:sectPr>
      </w:pPr>
    </w:p>
    <w:bookmarkStart w:id="143" w:name="page144"/>
    <w:bookmarkEnd w:id="143"/>
    <w:p>
      <w:pPr>
        <w:ind w:left="660" w:hanging="652"/>
        <w:spacing w:after="0"/>
        <w:tabs>
          <w:tab w:leader="none" w:pos="660" w:val="left"/>
        </w:tabs>
        <w:numPr>
          <w:ilvl w:val="0"/>
          <w:numId w:val="1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Limitations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We offer no opinion:</w:t>
      </w:r>
    </w:p>
    <w:p>
      <w:pPr>
        <w:spacing w:after="0" w:line="225" w:lineRule="exact"/>
        <w:rPr>
          <w:sz w:val="20"/>
          <w:szCs w:val="20"/>
          <w:color w:val="auto"/>
        </w:rPr>
      </w:pPr>
    </w:p>
    <w:p>
      <w:pPr>
        <w:jc w:val="both"/>
        <w:ind w:left="1300" w:hanging="644"/>
        <w:spacing w:after="0" w:line="261"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the laws of any jurisdiction other than the laws of the British Virgin Islands, and we have not, for the purposes of this opinion, made any investigation into such laws of any other jurisdiction and we express no opinion as to the meaning, validity, or effect of references in the Documents to statutes, rules, regulations, codes or judicial authority of any jurisdiction other than the British Virgin Islands;</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representation or warranty made or given by the Company in the Documents or, save as expressly set out herein, as to whether the Company will be able to perform its obligations under the Documents;</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58"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commercial terms of the Documents (or as to how the commercial terms of the Documents reflect the intentions of the parties) or, except to the extent that this opinion expressly provides otherwise, the validity, enforceability or effect of the Documents, the accuracy of representations, the fulfilment of warranties or conditions, the occurrence of events of default or terminating events or the existence of any conflicts or inconsistencies among the Documents and any other agreements into which the Company may have entered or any other documents, unless this opinion expressly provides otherwise;</w:t>
      </w:r>
    </w:p>
    <w:p>
      <w:pPr>
        <w:spacing w:after="0" w:line="18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whether the acceptance, execution or performance of the obligations of the Company under the Documents will result in the breach of or infringe any other agreement, deed or document (other than the Memorandum and Articles) entered into by or binding on the Company; or</w:t>
      </w:r>
    </w:p>
    <w:p>
      <w:pPr>
        <w:spacing w:after="0" w:line="17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rights, title or interest of the Company to or in, or the existence of, any property or assets that are the subject of the Documents.</w:t>
      </w:r>
    </w:p>
    <w:p>
      <w:pPr>
        <w:spacing w:after="0" w:line="221"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 of this opinion</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color w:val="auto"/>
        </w:rPr>
        <w:t>This opinion is:</w:t>
      </w:r>
    </w:p>
    <w:p>
      <w:pPr>
        <w:spacing w:after="0" w:line="225" w:lineRule="exact"/>
        <w:rPr>
          <w:sz w:val="20"/>
          <w:szCs w:val="20"/>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governed by, and shall be construed in accordance with, the laws of the British Virgin Islands;</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 the matters expressly stated in it; and</w:t>
      </w:r>
    </w:p>
    <w:p>
      <w:pPr>
        <w:spacing w:after="0" w:line="225"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confined to, and given on the basis of, the laws and practice in the British Virgin Islands at the date of this opinion.</w:t>
      </w:r>
    </w:p>
    <w:p>
      <w:pPr>
        <w:spacing w:after="0" w:line="225" w:lineRule="exact"/>
        <w:rPr>
          <w:sz w:val="20"/>
          <w:szCs w:val="20"/>
          <w:color w:val="auto"/>
        </w:rPr>
      </w:pPr>
    </w:p>
    <w:p>
      <w:pPr>
        <w:ind w:left="660" w:hanging="647"/>
        <w:spacing w:after="0" w:line="282" w:lineRule="auto"/>
        <w:tabs>
          <w:tab w:leader="none" w:pos="64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Unless otherwise indicated, a reference to any specific British Virgin Islands legislation is a reference to that legislation as amended to, and as in force at, the date of this opinion.</w:t>
      </w:r>
    </w:p>
    <w:p>
      <w:pPr>
        <w:spacing w:after="0" w:line="158"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Consent</w:t>
      </w:r>
    </w:p>
    <w:p>
      <w:pPr>
        <w:spacing w:after="0" w:line="229"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reference to our firm under the headings “Enforceability of Civil Liabilities” and “Legal Matters” of the Registration Statement.</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opinion may be used only in connection with the offer and sale of the Securities while the Registration Statement is effective. In giving our consent, we do not thereby admit that we are in the category of persons whose consent is required under Section 7 of the Act or the Rules and Regulations of the Commission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Ogier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85432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Ogier</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4" w:name="page145"/>
    <w:bookmarkEnd w:id="144"/>
    <w:p>
      <w:pPr>
        <w:jc w:val="center"/>
        <w:spacing w:after="0"/>
        <w:rPr>
          <w:sz w:val="20"/>
          <w:szCs w:val="20"/>
          <w:color w:val="auto"/>
        </w:rPr>
      </w:pPr>
      <w:r>
        <w:rPr>
          <w:rFonts w:ascii="Times New Roman" w:cs="Times New Roman" w:eastAsia="Times New Roman" w:hAnsi="Times New Roman"/>
          <w:sz w:val="18"/>
          <w:szCs w:val="18"/>
          <w:b w:val="1"/>
          <w:bCs w:val="1"/>
          <w:color w:val="auto"/>
        </w:rPr>
        <w:t>SCHEDULE 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Assumptions</w:t>
      </w:r>
    </w:p>
    <w:p>
      <w:pPr>
        <w:spacing w:after="0" w:line="225"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original documents examined by us are authentic and complete.</w:t>
      </w:r>
    </w:p>
    <w:p>
      <w:pPr>
        <w:spacing w:after="0" w:line="225" w:lineRule="exact"/>
        <w:rPr>
          <w:sz w:val="20"/>
          <w:szCs w:val="20"/>
          <w:color w:val="auto"/>
        </w:rPr>
      </w:pPr>
    </w:p>
    <w:p>
      <w:pPr>
        <w:ind w:left="660" w:right="20" w:hanging="652"/>
        <w:spacing w:after="0" w:line="282" w:lineRule="auto"/>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copy documents examined by us (whether in facsimile, electronic or other form) conform to the originals and those originals are authentic and complete.</w:t>
      </w:r>
    </w:p>
    <w:p>
      <w:pPr>
        <w:spacing w:after="0" w:line="162" w:lineRule="exact"/>
        <w:rPr>
          <w:sz w:val="20"/>
          <w:szCs w:val="20"/>
          <w:color w:val="auto"/>
        </w:rPr>
      </w:pPr>
    </w:p>
    <w:p>
      <w:pPr>
        <w:ind w:left="660" w:hanging="652"/>
        <w:spacing w:after="0"/>
        <w:tabs>
          <w:tab w:leader="none" w:pos="66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seals, dates, stamps and markings (whether on original or copy documents) are genuine.</w:t>
      </w:r>
    </w:p>
    <w:p>
      <w:pPr>
        <w:spacing w:after="0" w:line="225" w:lineRule="exact"/>
        <w:rPr>
          <w:sz w:val="20"/>
          <w:szCs w:val="20"/>
          <w:color w:val="auto"/>
        </w:rPr>
      </w:pPr>
    </w:p>
    <w:p>
      <w:pPr>
        <w:ind w:left="660" w:hanging="652"/>
        <w:spacing w:after="0"/>
        <w:tabs>
          <w:tab w:leader="none" w:pos="66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Good Standing Certificate, the Certificate of Incumbency and the Register is accurate and complete as at the date of this opinion.</w:t>
      </w:r>
    </w:p>
    <w:p>
      <w:pPr>
        <w:spacing w:after="0" w:line="225" w:lineRule="exact"/>
        <w:rPr>
          <w:sz w:val="20"/>
          <w:szCs w:val="20"/>
          <w:color w:val="auto"/>
        </w:rPr>
      </w:pPr>
    </w:p>
    <w:p>
      <w:pPr>
        <w:jc w:val="both"/>
        <w:ind w:left="660" w:hanging="652"/>
        <w:spacing w:after="0" w:line="261" w:lineRule="auto"/>
        <w:tabs>
          <w:tab w:leader="none" w:pos="6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to the Governing Documents other than the Company is duly incorporated, formed or organised (as applicable), validly existing and in good standing under all relevant laws. Any individuals who are parties to the Governing Documents, or who sign or have signed documents or give information on which we rely, have the legal capacity under all relevant laws (including the laws of the British Virgin Islands) to enter into and perform their obligations under such Governing Document, sign such documents and give such information.</w:t>
      </w:r>
    </w:p>
    <w:p>
      <w:pPr>
        <w:spacing w:after="0" w:line="180" w:lineRule="exact"/>
        <w:rPr>
          <w:sz w:val="20"/>
          <w:szCs w:val="20"/>
          <w:color w:val="auto"/>
        </w:rPr>
      </w:pPr>
    </w:p>
    <w:p>
      <w:pPr>
        <w:ind w:left="660" w:hanging="652"/>
        <w:spacing w:after="0" w:line="282" w:lineRule="auto"/>
        <w:tabs>
          <w:tab w:leader="none" w:pos="66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Governing Document and the Non-Equity Securities have been, or will be, duly authorised, executed and unconditionally delivered by or on behalf of all relevant parties in accordance with all relevant laws and, in respect of the Company, in the manner authorised by the Board.</w:t>
      </w:r>
    </w:p>
    <w:p>
      <w:pPr>
        <w:spacing w:after="0" w:line="162" w:lineRule="exact"/>
        <w:rPr>
          <w:sz w:val="20"/>
          <w:szCs w:val="20"/>
          <w:color w:val="auto"/>
        </w:rPr>
      </w:pPr>
    </w:p>
    <w:p>
      <w:pPr>
        <w:jc w:val="both"/>
        <w:ind w:left="660" w:hanging="652"/>
        <w:spacing w:after="0" w:line="266" w:lineRule="auto"/>
        <w:tabs>
          <w:tab w:leader="none" w:pos="66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authorising the execution and delivery of the Documents and the Governing Documents by the Company, the exercise of its rights and performance of its obligations under such documents, each of the directors of the Company has acted in good faith with a view to the best interests of the Company and has exercised the standard of care, diligence and skill that is required of him or her.</w:t>
      </w:r>
    </w:p>
    <w:p>
      <w:pPr>
        <w:spacing w:after="0" w:line="176" w:lineRule="exact"/>
        <w:rPr>
          <w:sz w:val="20"/>
          <w:szCs w:val="20"/>
          <w:color w:val="auto"/>
        </w:rPr>
      </w:pPr>
    </w:p>
    <w:p>
      <w:pPr>
        <w:jc w:val="both"/>
        <w:ind w:left="660" w:hanging="652"/>
        <w:spacing w:after="0" w:line="261" w:lineRule="auto"/>
        <w:tabs>
          <w:tab w:leader="none" w:pos="66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Governing Documents will be governed by and construed in accordance with the laws of New York and will be legal, valid, binding and enforceable against all relevant parties in accordance with its terms under the laws of New York and all other relevant laws. If an obligation is to be performed in a jurisdiction outside the British Virgin Islands, its performance will not be contrary to an official directive, impossible or illegal under the laws of that jurisdiction.</w:t>
      </w:r>
    </w:p>
    <w:p>
      <w:pPr>
        <w:spacing w:after="0" w:line="180" w:lineRule="exact"/>
        <w:rPr>
          <w:sz w:val="20"/>
          <w:szCs w:val="20"/>
          <w:color w:val="auto"/>
        </w:rPr>
      </w:pPr>
    </w:p>
    <w:p>
      <w:pPr>
        <w:jc w:val="both"/>
        <w:ind w:left="660" w:hanging="652"/>
        <w:spacing w:after="0" w:line="261" w:lineRule="auto"/>
        <w:tabs>
          <w:tab w:leader="none" w:pos="66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choice of the laws of the State of New York as the governing law of the Governing Documents has, or will have, been made in good faith and would be regarded as a valid and binding selection which will be upheld by the courts of the State of New York and any other relevant jurisdiction (other than the British Virgin Islands) as a matter of the laws of the State of New York and all other relevant laws (other than the laws of the British Virgin Islands).</w:t>
      </w:r>
    </w:p>
    <w:p>
      <w:pPr>
        <w:spacing w:after="0" w:line="180" w:lineRule="exact"/>
        <w:rPr>
          <w:sz w:val="20"/>
          <w:szCs w:val="20"/>
          <w:color w:val="auto"/>
        </w:rPr>
      </w:pPr>
    </w:p>
    <w:p>
      <w:pPr>
        <w:jc w:val="both"/>
        <w:ind w:left="660" w:hanging="652"/>
        <w:spacing w:after="0" w:line="261" w:lineRule="auto"/>
        <w:tabs>
          <w:tab w:leader="none" w:pos="66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Non-Equity Securities will respectively be issued and authenticated as required in accordance with the provisions of a duly authorised, executed and delivered applicable Governing Document and the Non-Equity Securities will be legal, valid, binding and enforceable against all relevant parties in accordance with their terms under the laws of the State of New York and all other relevant laws (other than, with respect to the Company, the laws of the British Virgin Islands).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5" w:name="page146"/>
    <w:bookmarkEnd w:id="145"/>
    <w:p>
      <w:pPr>
        <w:jc w:val="both"/>
        <w:ind w:left="660" w:hanging="652"/>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and terms of any and all Securities, the issuance and sale thereof by the Company, and the Company’s incurrence and performance of its obligations thereunder or in respect thereof (including, without limitation, its obligations under any related agreement, indenture or supplement thereto) in accordance with the terms thereof will not violate the memorandum and articles of association of the Company then in effect nor any applicable law, regulation, order or decree in the British Virgin Islands.</w:t>
      </w:r>
    </w:p>
    <w:p>
      <w:pPr>
        <w:spacing w:after="0" w:line="179"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opinions expressed herein will be adversely affected by the laws or public policies of any jurisdiction other than the British Virgin Islands. In particular, but without limitation to the previous sentence:</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or public policies of any jurisdiction other than the British Virgin Islands will not adversely affect the capacity or authority of the Company; and</w:t>
      </w:r>
    </w:p>
    <w:p>
      <w:pPr>
        <w:spacing w:after="0" w:line="161"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or delivery of the Governing Documents nor the exercise by any party to the Governing Documents of its rights or the performance of its obligations under them contravene those laws or public policies.</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1"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agreements, documents or arrangements (other than the documents expressly referred to in this opinion as having been examined by us) that materially affect or modify the Governing Documents or the transactions contemplated by Governing Documents or restrict the powers and authority of the Company in any way from entering into and performing its obligations under a duly authorised, executed and delivered Governing Documents.</w:t>
      </w:r>
    </w:p>
    <w:p>
      <w:pPr>
        <w:spacing w:after="0" w:line="179" w:lineRule="exact"/>
        <w:rPr>
          <w:rFonts w:ascii="Times New Roman" w:cs="Times New Roman" w:eastAsia="Times New Roman" w:hAnsi="Times New Roman"/>
          <w:sz w:val="18"/>
          <w:szCs w:val="18"/>
          <w:color w:val="auto"/>
        </w:rPr>
      </w:pPr>
    </w:p>
    <w:p>
      <w:pPr>
        <w:jc w:val="both"/>
        <w:ind w:left="660" w:hanging="652"/>
        <w:spacing w:after="0" w:line="258"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obtained, or will obtain prior to execution, all consents, licences, approvals and authorisations of any governmental or regulatory authority or agency or of any other person that it is required to obtain pursuant to the laws of all relevant jurisdictions (other than those of the British Virgin Islands) to ensure the legality, validity, enforceability, proper performance and admissibility in evidence of the Governing Documents. Any conditions to which such consents, licences, approvals and authorisations are subject have been, and will continue to be, satisfied or waived by the parties entitled to the benefit of them.</w:t>
      </w:r>
    </w:p>
    <w:p>
      <w:pPr>
        <w:spacing w:after="0" w:line="18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necessary corporate action will be taken to authorise and approve any issuance of Securities and the terms of the offering of such Securities thereof and other related matters and that the applicable definitive purchase, underwriting or similar agreement will be duly approved, executed and delivered by or on behalf of the Company and all other parties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b w:val="1"/>
          <w:bCs w:val="1"/>
          <w:color w:val="auto"/>
        </w:rPr>
        <w:t>SCHEDULE 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Qualifications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 standing</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an annual fee must be paid in respect of the Company to the Registry of Corporate Affairs. Failure to pay the annual fees by the relevant due date will render the Company liable to a penalty fee in addition to the amount of the outstanding fees. If the license fee and/or any penalty fee remains unpaid from the due date, the Company will be liable to be struck off and dissolved from the Register of Companies in the British Virgin Islands.</w:t>
      </w:r>
    </w:p>
    <w:p>
      <w:pPr>
        <w:spacing w:after="0" w:line="180" w:lineRule="exact"/>
        <w:rPr>
          <w:sz w:val="20"/>
          <w:szCs w:val="20"/>
          <w:color w:val="auto"/>
        </w:rPr>
      </w:pPr>
    </w:p>
    <w:p>
      <w:pPr>
        <w:jc w:val="both"/>
        <w:ind w:left="660" w:hanging="652"/>
        <w:spacing w:after="0" w:line="266" w:lineRule="auto"/>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a copy of the Company’s register of directors which is complete must be filed by the Company at the Registry of Corporate Affairs. Failure to make this filing will render the Company liable to a penalty fee and if the filing is not made within the requisite time period or any penalty fee remains unpaid from the due date, the Company will be liable to be struck off and dissolved from the Register of Companies.</w:t>
      </w:r>
    </w:p>
    <w:p>
      <w:pPr>
        <w:spacing w:after="0" w:line="176" w:lineRule="exact"/>
        <w:rPr>
          <w:sz w:val="20"/>
          <w:szCs w:val="20"/>
          <w:color w:val="auto"/>
        </w:rPr>
      </w:pPr>
    </w:p>
    <w:p>
      <w:pPr>
        <w:jc w:val="both"/>
        <w:ind w:left="660" w:hanging="652"/>
        <w:spacing w:after="0" w:line="261" w:lineRule="auto"/>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an annual financial return, in the prescribed form, must be filed by the Company with its registered agent in respect of each year for which one is due within the timeframe prescribed by the BCA for that year (unless the Company is within one of the statutory exceptions to the obligation to file). Failure to make this filing when due will render the Company liable to a penalty fee and where the Company is liable to the maximum penalty and has not filed its annual return, the Company will be liable to be struck off and dissolved from the Register of Companies.</w:t>
      </w:r>
    </w:p>
    <w:p>
      <w:pPr>
        <w:spacing w:after="0" w:line="180" w:lineRule="exact"/>
        <w:rPr>
          <w:sz w:val="20"/>
          <w:szCs w:val="20"/>
          <w:color w:val="auto"/>
        </w:rPr>
      </w:pPr>
    </w:p>
    <w:p>
      <w:pPr>
        <w:jc w:val="both"/>
        <w:ind w:left="660" w:hanging="652"/>
        <w:spacing w:after="0" w:line="258" w:lineRule="auto"/>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BCA, unless the Company is within one of the statutory exceptions to the obligation to file and is compliant with any conditions for the relevant exception(s) to apply, a copy of the Company’s register of members which is complete and certain prescribed beneficial ownership information for the Company must be filed by the Company at the Registry of Corporate Affairs. Failure to make these filings will render the Company liable to penalty fees and if the filings are not made within the requisite time period or any penalty fee remains unpaid from the due date, the Company will be liable to be struck off and dissolved from the Register of Companies.</w:t>
      </w:r>
    </w:p>
    <w:p>
      <w:pPr>
        <w:spacing w:after="0" w:line="183" w:lineRule="exact"/>
        <w:rPr>
          <w:sz w:val="20"/>
          <w:szCs w:val="20"/>
          <w:color w:val="auto"/>
        </w:rPr>
      </w:pPr>
    </w:p>
    <w:p>
      <w:pPr>
        <w:jc w:val="both"/>
        <w:ind w:left="660" w:hanging="652"/>
        <w:spacing w:after="0" w:line="253" w:lineRule="auto"/>
        <w:tabs>
          <w:tab w:leader="none" w:pos="66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opinion “in good standing” means only that the Registrar of Corporate Affairs is satisfied that the Company is deemed to be in good standing under Section 235 of the BCA on the date of issue of the Good Standing Certificate. Notwithstanding any expiry date referred to in the certificate, the Company shall cease to be in good standing under Section 235 of the BCA if the Registrar of Corporate Affairs is not, or ceases to be, satisfied that the Company: (i) is on the Register of Companies; (ii) has paid all fees, annual fees and penalties due and payable; (iii) has filed with the Registrar of Corporate Affairs when due a copy of its registers of directors in accordance with and to the extent required by the BCA; and (iv) has filed with the Registrar of Corporate Affairs when due a copy of its registers of members in accordance with and to the extent required by the BCA; and (v) has filed with the Registrar of Corporate Affairs when due beneficial ownership information in accordance with the BCA; and/or where the Registrar of Corporate Affairs has received any notification that the Company has failed to file its annual return in accordance with and to the extent required by the BCA. We have made no enquiries into the Company’s good standing with respect to any other filings or payment of fees, or both, that it may be required to make under the laws of the British Virgin Islands other than the BCA. We have made no enquiries into whether the copy of the register of directors, the copy of the register of members or the Company’s beneficial ownership information filed at the Registry of Corporate Affairs matches the details set out on the Certificate of Incumbency or whether the annual return filed by the Company with its registered agent is in the prescribed form as required pursuant to the BCA.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Public Records</w:t>
      </w:r>
    </w:p>
    <w:p>
      <w:pPr>
        <w:spacing w:after="0" w:line="229" w:lineRule="exact"/>
        <w:rPr>
          <w:sz w:val="20"/>
          <w:szCs w:val="20"/>
          <w:color w:val="auto"/>
        </w:rPr>
      </w:pPr>
    </w:p>
    <w:p>
      <w:pPr>
        <w:ind w:left="660" w:hanging="652"/>
        <w:spacing w:after="0"/>
        <w:tabs>
          <w:tab w:leader="none" w:pos="66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Records and our searches thereof may not reveal the following:</w:t>
      </w:r>
    </w:p>
    <w:p>
      <w:pPr>
        <w:spacing w:after="0" w:line="22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Company Registry Records, details of matters which have not been lodged for registration or have been lodged for registration but not actually registered at the time of our search or notifications made to the Registrar of Corporate Affairs by the registered agent of any failure by any Company to file its register of directors, register of members, beneficial ownership information and/or annual return as required and within the time frame prescribed by the BCA;</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the Court Records, details of proceedings which have been filed but not actually entered in the High Court Database at the time of our search;</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 application for the appointment of a liquidator or a receiver has been presented to the High Court of the British Virgin Islands or whether a liquidator or a receiver has been appointed out of court, or whether any out of court dissolution, reconstruction or reorganisation of the Company has been commenced; or</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originating process (including an application to appoint a liquidator) in respect of the Company in circumstances where the High Court of the British Virgin Islands has prior to the issuance of such process ordered that such process upon issuance be anonymised (whether on a temporary basis or otherwise),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and the following points should also be noted:</w:t>
      </w:r>
    </w:p>
    <w:p>
      <w:pPr>
        <w:spacing w:after="0" w:line="225" w:lineRule="exact"/>
        <w:rPr>
          <w:sz w:val="20"/>
          <w:szCs w:val="20"/>
          <w:color w:val="auto"/>
        </w:rPr>
      </w:pPr>
    </w:p>
    <w:p>
      <w:pPr>
        <w:jc w:val="both"/>
        <w:ind w:left="1300" w:hanging="644"/>
        <w:spacing w:after="0" w:line="256"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Court Records reflect the information accessible remotely on the High Court Database, we have not conducted a separate search of the underlying Civil Cause Book (the </w:t>
      </w:r>
      <w:r>
        <w:rPr>
          <w:rFonts w:ascii="Times New Roman" w:cs="Times New Roman" w:eastAsia="Times New Roman" w:hAnsi="Times New Roman"/>
          <w:sz w:val="18"/>
          <w:szCs w:val="18"/>
          <w:b w:val="1"/>
          <w:bCs w:val="1"/>
          <w:color w:val="auto"/>
        </w:rPr>
        <w:t>Civil Cause Book</w:t>
      </w:r>
      <w:r>
        <w:rPr>
          <w:rFonts w:ascii="Times New Roman" w:cs="Times New Roman" w:eastAsia="Times New Roman" w:hAnsi="Times New Roman"/>
          <w:sz w:val="18"/>
          <w:szCs w:val="18"/>
          <w:color w:val="auto"/>
        </w:rPr>
        <w:t xml:space="preserve">) or the Commercial Cause Book (the </w:t>
      </w:r>
      <w:r>
        <w:rPr>
          <w:rFonts w:ascii="Times New Roman" w:cs="Times New Roman" w:eastAsia="Times New Roman" w:hAnsi="Times New Roman"/>
          <w:sz w:val="18"/>
          <w:szCs w:val="18"/>
          <w:b w:val="1"/>
          <w:bCs w:val="1"/>
          <w:color w:val="auto"/>
        </w:rPr>
        <w:t>Commercial Cause Book</w:t>
      </w:r>
      <w:r>
        <w:rPr>
          <w:rFonts w:ascii="Times New Roman" w:cs="Times New Roman" w:eastAsia="Times New Roman" w:hAnsi="Times New Roman"/>
          <w:sz w:val="18"/>
          <w:szCs w:val="18"/>
          <w:color w:val="auto"/>
        </w:rPr>
        <w:t>) at the Registry of the High Court of the British Virgin Islands. Although the High Court Database should reflect the content of the Civil Cause Book and the Commercial Cause Book, neither the High Court Database nor the Civil Cause Book or Commercial Cause Book is updated every day, and for that reason neither facility can be relied upon to reveal whether or not a particular entity is a party to litigation in the British Virgin Islands;</w:t>
      </w:r>
    </w:p>
    <w:p>
      <w:pPr>
        <w:spacing w:after="0" w:line="187"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 Court Database is not updated if third parties or noticed parties are added to or removed from the proceedings after their commencement; and</w:t>
      </w:r>
    </w:p>
    <w:p>
      <w:pPr>
        <w:spacing w:after="0" w:line="161"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it is a requirement under Section 118 of the Insolvency Act that notice of the appointment of a receiver be registered with the Registry of Corporate Affairs, however, it should be noted that failure to file a notice of appointment of a receiver does not invalidate the receivership but gives rise to penalties on the part of the receiver and the absence of a registered notice of appointment of a receiver is not conclusive as to there being no existing appointment of a receiver in respect of the Company or its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Non-assessable</w:t>
      </w:r>
    </w:p>
    <w:p>
      <w:pPr>
        <w:spacing w:after="0" w:line="229" w:lineRule="exact"/>
        <w:rPr>
          <w:sz w:val="20"/>
          <w:szCs w:val="20"/>
          <w:color w:val="auto"/>
        </w:rPr>
      </w:pPr>
    </w:p>
    <w:p>
      <w:pPr>
        <w:jc w:val="both"/>
        <w:ind w:left="660" w:hanging="652"/>
        <w:spacing w:after="0" w:line="261" w:lineRule="auto"/>
        <w:tabs>
          <w:tab w:leader="none" w:pos="6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this opinion, the phrase “non-assessable” means, with respect to the Equity Securities, that a shareholder shall not, solely by virtue of its status as a shareholder, be liable for additional assessments or calls on such Equity Securities by the Company or its creditors (except in exceptional circumstances, such as involving fraud, the establishment of an agency relationship or an illegal or improper purpose or other circumstance in which a court may be prepared to pierce or lift the corporate veil).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7" w:lineRule="exact"/>
        <w:rPr>
          <w:sz w:val="20"/>
          <w:szCs w:val="20"/>
          <w:color w:val="auto"/>
        </w:rPr>
      </w:pPr>
    </w:p>
    <w:p>
      <w:pPr>
        <w:ind w:left="660" w:hanging="652"/>
        <w:spacing w:after="0" w:line="284" w:lineRule="auto"/>
        <w:tabs>
          <w:tab w:leader="none" w:pos="66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BCA, the entry of the name of a person in the register of members as a holder of a share in a company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that legal title in the share vests in that person.</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8" w:name="page149"/>
    <w:bookmarkEnd w:id="148"/>
    <w:p>
      <w:pPr>
        <w:ind w:left="9200"/>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164465</wp:posOffset>
            </wp:positionV>
            <wp:extent cx="7132320" cy="93268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0" w:num="1">
            <w:col w:w="10120"/>
          </w:cols>
          <w:pgMar w:left="1440" w:top="117" w:right="339" w:bottom="1440"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179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7132320" cy="9317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1" w:name="page162"/>
    <w:bookmarkEnd w:id="1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2" w:name="page163"/>
    <w:bookmarkEnd w:id="1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3" w:name="page164"/>
    <w:bookmarkEnd w:id="1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5" w:name="page166"/>
    <w:bookmarkEnd w:id="1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6" w:name="page167"/>
    <w:bookmarkEnd w:id="1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7" w:name="page168"/>
    <w:bookmarkEnd w:id="1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2688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7132320" cy="93268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8" w:name="page169"/>
    <w:bookmarkEnd w:id="1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1862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7132320" cy="93186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9" w:name="page170"/>
    <w:bookmarkEnd w:id="1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0" w:name="page171"/>
    <w:bookmarkEnd w:id="1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1" w:name="page172"/>
    <w:bookmarkEnd w:id="1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1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71323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2" w:name="page173"/>
    <w:bookmarkEnd w:id="1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3" w:name="page174"/>
    <w:bookmarkEnd w:id="1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4" w:name="page175"/>
    <w:bookmarkEnd w:id="1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14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7132320" cy="93014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5" w:name="page176"/>
    <w:bookmarkEnd w:id="1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6" w:name="page177"/>
    <w:bookmarkEnd w:id="1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7" w:name="page178"/>
    <w:bookmarkEnd w:id="1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8" w:name="page179"/>
    <w:bookmarkEnd w:id="1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9" w:name="page180"/>
    <w:bookmarkEnd w:id="1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0" w:name="page181"/>
    <w:bookmarkEnd w:id="1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9309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7132320" cy="93097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1" w:name="page182"/>
    <w:bookmarkEnd w:id="181"/>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1945640" cy="3517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19456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229" w:lineRule="exact"/>
        <w:rPr>
          <w:sz w:val="20"/>
          <w:szCs w:val="20"/>
          <w:color w:val="auto"/>
        </w:rPr>
      </w:pPr>
    </w:p>
    <w:p>
      <w:pPr>
        <w:jc w:val="both"/>
        <w:ind w:hanging="8"/>
        <w:spacing w:after="0" w:line="266" w:lineRule="auto"/>
        <w:rPr>
          <w:sz w:val="20"/>
          <w:szCs w:val="20"/>
          <w:color w:val="auto"/>
        </w:rPr>
      </w:pPr>
      <w:r>
        <w:rPr>
          <w:rFonts w:ascii="Times New Roman" w:cs="Times New Roman" w:eastAsia="Times New Roman" w:hAnsi="Times New Roman"/>
          <w:sz w:val="18"/>
          <w:szCs w:val="18"/>
          <w:color w:val="auto"/>
        </w:rPr>
        <w:t>We consent to the use in this Registration Statement on Form F-3 of our report dated November 17, 2025, relating to the consolidated financial statements of Helport AI Limited and its subsidiaries as of June 30, 2025 and 2024 and for the years ended June 30, 2025, 2024, and 2023. We also consent to the reference to us under the heading “Experts” in such Registration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Enrome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2026</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Enrome LLP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143 Cecil Street #19-03/04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GB Building Singapore 069542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admin@enrome-group.com</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www.enrome-group.com</w:t>
      </w:r>
    </w:p>
    <w:p>
      <w:pPr>
        <w:sectPr>
          <w:pgSz w:w="11900" w:h="16838" w:orient="portrait"/>
          <w:cols w:equalWidth="0" w:num="3">
            <w:col w:w="3120" w:space="720"/>
            <w:col w:w="3080" w:space="720"/>
            <w:col w:w="3600"/>
          </w:cols>
          <w:pgMar w:left="320" w:top="117" w:right="339" w:bottom="1440" w:gutter="0" w:footer="0" w:header="0"/>
          <w:type w:val="continuous"/>
        </w:sectPr>
      </w:pPr>
    </w:p>
    <w:bookmarkStart w:id="182" w:name="page183"/>
    <w:bookmarkEnd w:id="182"/>
    <w:p>
      <w:pPr>
        <w:jc w:val="right"/>
        <w:spacing w:after="0"/>
        <w:rPr>
          <w:sz w:val="20"/>
          <w:szCs w:val="20"/>
          <w:color w:val="auto"/>
        </w:rPr>
      </w:pPr>
      <w:r>
        <w:rPr>
          <w:rFonts w:ascii="Times New Roman" w:cs="Times New Roman" w:eastAsia="Times New Roman" w:hAnsi="Times New Roman"/>
          <w:sz w:val="22"/>
          <w:szCs w:val="22"/>
          <w:b w:val="1"/>
          <w:bCs w:val="1"/>
          <w:color w:val="auto"/>
        </w:rPr>
        <w:t>Ex-Filing Fees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F-3</w:t>
      </w:r>
    </w:p>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Helport AI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1: Newly Registered and Carry Forward Securities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Proposed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9"/>
        </w:trPr>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4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Offering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Line Item Type</w:t>
            </w:r>
          </w:p>
        </w:tc>
        <w:tc>
          <w:tcPr>
            <w:tcW w:w="80" w:type="dxa"/>
            <w:vAlign w:val="bottom"/>
            <w:vMerge w:val="restart"/>
          </w:tcPr>
          <w:p>
            <w:pPr>
              <w:spacing w:after="0"/>
              <w:rPr>
                <w:sz w:val="12"/>
                <w:szCs w:val="12"/>
                <w:color w:val="auto"/>
              </w:rPr>
            </w:pPr>
          </w:p>
        </w:tc>
        <w:tc>
          <w:tcPr>
            <w:tcW w:w="2160" w:type="dxa"/>
            <w:vAlign w:val="bottom"/>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Security Type</w:t>
            </w:r>
          </w:p>
        </w:tc>
        <w:tc>
          <w:tcPr>
            <w:tcW w:w="100" w:type="dxa"/>
            <w:vAlign w:val="bottom"/>
          </w:tcPr>
          <w:p>
            <w:pPr>
              <w:spacing w:after="0"/>
              <w:rPr>
                <w:sz w:val="12"/>
                <w:szCs w:val="12"/>
                <w:color w:val="auto"/>
              </w:rPr>
            </w:pPr>
          </w:p>
        </w:tc>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Security Class Title</w:t>
            </w:r>
          </w:p>
        </w:tc>
        <w:tc>
          <w:tcPr>
            <w:tcW w:w="80" w:type="dxa"/>
            <w:vAlign w:val="bottom"/>
            <w:vMerge w:val="restart"/>
          </w:tcPr>
          <w:p>
            <w:pPr>
              <w:spacing w:after="0"/>
              <w:rPr>
                <w:sz w:val="12"/>
                <w:szCs w:val="12"/>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80" w:type="dxa"/>
            <w:vAlign w:val="bottom"/>
            <w:vMerge w:val="restart"/>
          </w:tcPr>
          <w:p>
            <w:pPr>
              <w:spacing w:after="0"/>
              <w:rPr>
                <w:sz w:val="12"/>
                <w:szCs w:val="12"/>
                <w:color w:val="auto"/>
              </w:rPr>
            </w:pPr>
          </w:p>
        </w:tc>
        <w:tc>
          <w:tcPr>
            <w:tcW w:w="9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Calculation</w:t>
            </w:r>
          </w:p>
        </w:tc>
        <w:tc>
          <w:tcPr>
            <w:tcW w:w="92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3"/>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40" w:type="dxa"/>
            <w:vAlign w:val="bottom"/>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Aggregate Offering</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Fee Rate</w:t>
            </w:r>
          </w:p>
        </w:tc>
        <w:tc>
          <w:tcPr>
            <w:tcW w:w="100" w:type="dxa"/>
            <w:vAlign w:val="bottom"/>
            <w:vMerge w:val="restart"/>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0" w:type="dxa"/>
            <w:vAlign w:val="bottom"/>
          </w:tcPr>
          <w:p>
            <w:pPr>
              <w:spacing w:after="0"/>
              <w:rPr>
                <w:sz w:val="1"/>
                <w:szCs w:val="1"/>
                <w:color w:val="auto"/>
              </w:rPr>
            </w:pPr>
          </w:p>
        </w:tc>
      </w:tr>
      <w:tr>
        <w:trPr>
          <w:trHeight w:val="173"/>
        </w:trPr>
        <w:tc>
          <w:tcPr>
            <w:tcW w:w="12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2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Rule</w:t>
            </w:r>
          </w:p>
        </w:tc>
        <w:tc>
          <w:tcPr>
            <w:tcW w:w="8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Registered</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Unit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w w:val="95"/>
              </w:rPr>
              <w:t>Fee</w:t>
            </w:r>
          </w:p>
        </w:tc>
        <w:tc>
          <w:tcPr>
            <w:tcW w:w="0" w:type="dxa"/>
            <w:vAlign w:val="bottom"/>
          </w:tcPr>
          <w:p>
            <w:pPr>
              <w:spacing w:after="0"/>
              <w:rPr>
                <w:sz w:val="1"/>
                <w:szCs w:val="1"/>
                <w:color w:val="auto"/>
              </w:rPr>
            </w:pPr>
          </w:p>
        </w:tc>
      </w:tr>
      <w:tr>
        <w:trPr>
          <w:trHeight w:val="277"/>
        </w:trPr>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40" w:type="dxa"/>
            <w:vAlign w:val="bottom"/>
            <w:gridSpan w:val="8"/>
          </w:tcPr>
          <w:p>
            <w:pPr>
              <w:ind w:left="1060"/>
              <w:spacing w:after="0"/>
              <w:rPr>
                <w:sz w:val="20"/>
                <w:szCs w:val="20"/>
                <w:color w:val="auto"/>
              </w:rPr>
            </w:pPr>
            <w:r>
              <w:rPr>
                <w:rFonts w:ascii="Times New Roman" w:cs="Times New Roman" w:eastAsia="Times New Roman" w:hAnsi="Times New Roman"/>
                <w:sz w:val="18"/>
                <w:szCs w:val="18"/>
                <w:i w:val="1"/>
                <w:iCs w:val="1"/>
                <w:color w:val="auto"/>
              </w:rPr>
              <w:t>Newly Registered Securities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Ordinary shares,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Other</w:t>
            </w: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215,942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507,463.70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par value $0.001</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per share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Preferred shares,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$0.0001 par</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value per share</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Warrants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Debt</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Debt Securities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Units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4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Rights</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Fees to be Paid</w:t>
            </w:r>
          </w:p>
        </w:tc>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w w:val="99"/>
              </w:rPr>
              <w:t>Unallocated (Universal) Shelf</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9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457(o)</w:t>
            </w: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99"/>
              </w:rPr>
              <w:t>100,000,000.00</w:t>
            </w: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0.0001381</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13,810.00</w:t>
            </w:r>
          </w:p>
        </w:tc>
        <w:tc>
          <w:tcPr>
            <w:tcW w:w="0" w:type="dxa"/>
            <w:vAlign w:val="bottom"/>
          </w:tcPr>
          <w:p>
            <w:pPr>
              <w:spacing w:after="0"/>
              <w:rPr>
                <w:sz w:val="1"/>
                <w:szCs w:val="1"/>
                <w:color w:val="auto"/>
              </w:rPr>
            </w:pPr>
          </w:p>
        </w:tc>
      </w:tr>
      <w:tr>
        <w:trPr>
          <w:trHeight w:val="81"/>
        </w:trPr>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40" w:type="dxa"/>
            <w:vAlign w:val="bottom"/>
            <w:gridSpan w:val="9"/>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Total Offering Amounts:</w:t>
            </w:r>
          </w:p>
        </w:tc>
        <w:tc>
          <w:tcPr>
            <w:tcW w:w="10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tcPr>
          <w:p>
            <w:pPr>
              <w:spacing w:after="0"/>
              <w:rPr>
                <w:sz w:val="7"/>
                <w:szCs w:val="7"/>
                <w:color w:val="auto"/>
              </w:rPr>
            </w:pPr>
          </w:p>
        </w:tc>
        <w:tc>
          <w:tcPr>
            <w:tcW w:w="100" w:type="dxa"/>
            <w:vAlign w:val="bottom"/>
            <w:vMerge w:val="restart"/>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gridSpan w:val="9"/>
            <w:vMerge w:val="continue"/>
          </w:tcPr>
          <w:p>
            <w:pPr>
              <w:spacing w:after="0"/>
              <w:rPr>
                <w:sz w:val="16"/>
                <w:szCs w:val="16"/>
                <w:color w:val="auto"/>
              </w:rPr>
            </w:pPr>
          </w:p>
        </w:tc>
        <w:tc>
          <w:tcPr>
            <w:tcW w:w="1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100,507,463.70</w:t>
            </w:r>
          </w:p>
        </w:tc>
        <w:tc>
          <w:tcPr>
            <w:tcW w:w="100" w:type="dxa"/>
            <w:vAlign w:val="bottom"/>
            <w:vMerge w:val="continue"/>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w w:val="99"/>
              </w:rPr>
              <w:t>13,880.08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8"/>
          </w:tcPr>
          <w:p>
            <w:pPr>
              <w:jc w:val="right"/>
              <w:ind w:right="60"/>
              <w:spacing w:after="0"/>
              <w:rPr>
                <w:sz w:val="20"/>
                <w:szCs w:val="20"/>
                <w:color w:val="auto"/>
              </w:rPr>
            </w:pPr>
            <w:r>
              <w:rPr>
                <w:rFonts w:ascii="Times New Roman" w:cs="Times New Roman" w:eastAsia="Times New Roman" w:hAnsi="Times New Roman"/>
                <w:sz w:val="18"/>
                <w:szCs w:val="18"/>
                <w:color w:val="auto"/>
              </w:rPr>
              <w:t>Total Fees Previously Paid: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Total Fee Offsets: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0" w:type="dxa"/>
            <w:vAlign w:val="bottom"/>
          </w:tcPr>
          <w:p>
            <w:pPr>
              <w:spacing w:after="0"/>
              <w:rPr>
                <w:sz w:val="1"/>
                <w:szCs w:val="1"/>
                <w:color w:val="auto"/>
              </w:rPr>
            </w:pPr>
          </w:p>
        </w:tc>
      </w:tr>
      <w:tr>
        <w:trPr>
          <w:trHeight w:val="209"/>
        </w:trPr>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gridSpan w:val="6"/>
          </w:tcPr>
          <w:p>
            <w:pPr>
              <w:jc w:val="right"/>
              <w:ind w:right="60"/>
              <w:spacing w:after="0"/>
              <w:rPr>
                <w:sz w:val="20"/>
                <w:szCs w:val="20"/>
                <w:color w:val="auto"/>
              </w:rPr>
            </w:pPr>
            <w:r>
              <w:rPr>
                <w:rFonts w:ascii="Times New Roman" w:cs="Times New Roman" w:eastAsia="Times New Roman" w:hAnsi="Times New Roman"/>
                <w:sz w:val="18"/>
                <w:szCs w:val="18"/>
                <w:color w:val="auto"/>
              </w:rPr>
              <w:t>Net Fee Due: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13,880.08</w:t>
            </w:r>
          </w:p>
        </w:tc>
        <w:tc>
          <w:tcPr>
            <w:tcW w:w="0" w:type="dxa"/>
            <w:vAlign w:val="bottom"/>
          </w:tcPr>
          <w:p>
            <w:pPr>
              <w:spacing w:after="0"/>
              <w:rPr>
                <w:sz w:val="1"/>
                <w:szCs w:val="1"/>
                <w:color w:val="auto"/>
              </w:rPr>
            </w:pPr>
          </w:p>
        </w:tc>
      </w:tr>
      <w:tr>
        <w:trPr>
          <w:trHeight w:val="21"/>
        </w:trPr>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__________________________________________</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Offering Note(s)</w:t>
      </w:r>
    </w:p>
    <w:p>
      <w:pPr>
        <w:spacing w:after="0" w:line="84" w:lineRule="exact"/>
        <w:rPr>
          <w:sz w:val="20"/>
          <w:szCs w:val="20"/>
          <w:color w:val="auto"/>
        </w:rPr>
      </w:pPr>
    </w:p>
    <w:p>
      <w:pPr>
        <w:jc w:val="both"/>
        <w:ind w:left="360" w:hanging="292"/>
        <w:spacing w:after="0" w:line="261"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of 1933, as amended (the “Securities Act”), an indeterminate number of additional securities are registered hereunder that may be issued to prevent dilution in connection with a stock split, stock dividend, recapitalization, or similar event or adjustment. In addition, an indeterminate number of ordinary shares are registered hereunder that may be issued upon conversion of or exchange for any other securities.</w:t>
      </w:r>
    </w:p>
    <w:p>
      <w:pPr>
        <w:spacing w:after="0" w:line="179" w:lineRule="exact"/>
        <w:rPr>
          <w:rFonts w:ascii="Times New Roman" w:cs="Times New Roman" w:eastAsia="Times New Roman" w:hAnsi="Times New Roman"/>
          <w:sz w:val="18"/>
          <w:szCs w:val="18"/>
          <w:color w:val="auto"/>
        </w:rPr>
      </w:pPr>
    </w:p>
    <w:p>
      <w:pPr>
        <w:jc w:val="both"/>
        <w:ind w:lef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the securities of each identified class being registered as may be sold from time to time at indeterminate prices, with an initial aggregate public offering price not to exceed $100,000,000.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$100,000,000, less the aggregate dollar amount of all securities previously issued hereunder. Any securities registered hereunder may be sold separately or as part of units, which may consist of any combination of the securities registered hereunder.</w:t>
      </w:r>
    </w:p>
    <w:p>
      <w:pPr>
        <w:spacing w:after="0" w:line="188"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 2025 and November 15, 2025, the Company entered into two securities purchase agreements (the “SPAs”) with the selling shareholders (the “Selling Shareholders”), pursuant to which the Company agreed to sell up to an aggregate of 239,815 ordinary shares of the Company, par value $0.001 per share (the “Shares”). As such, 215,942 Shares have been issued to the Selling Shareholders upon the closing of the transactions.</w:t>
      </w:r>
    </w:p>
    <w:p>
      <w:pPr>
        <w:spacing w:after="0" w:line="175" w:lineRule="exact"/>
        <w:rPr>
          <w:rFonts w:ascii="Times New Roman" w:cs="Times New Roman" w:eastAsia="Times New Roman" w:hAnsi="Times New Roman"/>
          <w:sz w:val="18"/>
          <w:szCs w:val="18"/>
          <w:color w:val="auto"/>
        </w:rPr>
      </w:pPr>
    </w:p>
    <w:p>
      <w:pPr>
        <w:jc w:val="both"/>
        <w:ind w:left="3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estimate is made pursuant to Rule 457(c) of the Securities Act, solely for purposes of calculating the registration fee. The proposed maximum offering price is calculated on the average of the high ($2.05) and low ($2.65) prices for the Registrant’s ordinary shares as listed on the Nasdaq Capital Market on March 23, 2026.</w:t>
      </w:r>
    </w:p>
    <w:p>
      <w:pPr>
        <w:spacing w:after="0" w:line="67"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an indeterminate number of additional securities are registered hereunder that may be issued to prevent dilution in connection with a stock split, stock dividend, recapitalization, or similar event or adjustment. In addition, an indeterminate number of ordinary shares are registered hereunder that may be issued upon conversion of or exchange for any other securities.</w:t>
      </w:r>
    </w:p>
    <w:p>
      <w:pPr>
        <w:spacing w:after="0" w:line="175" w:lineRule="exact"/>
        <w:rPr>
          <w:rFonts w:ascii="Times New Roman" w:cs="Times New Roman" w:eastAsia="Times New Roman" w:hAnsi="Times New Roman"/>
          <w:sz w:val="18"/>
          <w:szCs w:val="18"/>
          <w:color w:val="auto"/>
        </w:rPr>
      </w:pPr>
    </w:p>
    <w:p>
      <w:pPr>
        <w:jc w:val="both"/>
        <w:ind w:lef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the securities of each identified class being registered as may be sold from time to time at indeterminate prices, with an initial aggregate public offering price not to exceed $100,000,000.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$100,000,000, less the aggregate dollar amount of all securities previously issued hereunder. Any securities registered hereunder may be sold separately or as part of units, which may consist of any combination of the securities registered hereunder.</w:t>
      </w:r>
    </w:p>
    <w:p>
      <w:pPr>
        <w:spacing w:after="0" w:line="80" w:lineRule="exact"/>
        <w:rPr>
          <w:rFonts w:ascii="Times New Roman" w:cs="Times New Roman" w:eastAsia="Times New Roman" w:hAnsi="Times New Roman"/>
          <w:sz w:val="18"/>
          <w:szCs w:val="18"/>
          <w:color w:val="auto"/>
        </w:rPr>
      </w:pPr>
    </w:p>
    <w:p>
      <w:pPr>
        <w:jc w:val="both"/>
        <w:ind w:left="360" w:hanging="292"/>
        <w:spacing w:after="0" w:line="266" w:lineRule="auto"/>
        <w:tabs>
          <w:tab w:leader="none" w:pos="36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an indeterminate number of additional securities are registered hereunder that may be issued to prevent dilution in connection with a stock split, stock dividend, recapitalization, or similar event or adjustment. In addition, an indeterminate number of ordinary shares are registered hereunder that may be issued upon conversion of or exchange for any other securities.</w:t>
      </w:r>
    </w:p>
    <w:p>
      <w:pPr>
        <w:spacing w:after="0" w:line="175" w:lineRule="exact"/>
        <w:rPr>
          <w:rFonts w:ascii="Times New Roman" w:cs="Times New Roman" w:eastAsia="Times New Roman" w:hAnsi="Times New Roman"/>
          <w:sz w:val="18"/>
          <w:szCs w:val="18"/>
          <w:color w:val="auto"/>
        </w:rPr>
      </w:pPr>
    </w:p>
    <w:p>
      <w:pPr>
        <w:jc w:val="both"/>
        <w:ind w:lef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the securities of each identified class being registered as may be sold from time to time at indeterminate prices, with an initial aggregate public offering price not to exceed $100,000,000.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$100,000,000, less the aggregate dollar amount of all securities previously issued hereunder. Any securities registered hereunder may be sold separately or as part of units, which may consist of any combination of the securities registered hereunder.</w:t>
      </w:r>
    </w:p>
    <w:p>
      <w:pPr>
        <w:sectPr>
          <w:pgSz w:w="11900" w:h="16838" w:orient="portrait"/>
          <w:cols w:equalWidth="0" w:num="1">
            <w:col w:w="11240"/>
          </w:cols>
          <w:pgMar w:left="320" w:top="108" w:right="339" w:bottom="0" w:gutter="0" w:footer="0" w:header="0"/>
        </w:sectPr>
      </w:pPr>
    </w:p>
    <w:bookmarkStart w:id="183" w:name="page184"/>
    <w:bookmarkEnd w:id="183"/>
    <w:p>
      <w:pPr>
        <w:jc w:val="both"/>
        <w:ind w:left="292" w:hanging="292"/>
        <w:spacing w:after="0" w:line="266" w:lineRule="auto"/>
        <w:tabs>
          <w:tab w:leader="none" w:pos="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an indeterminate number of additional securities are registered hereunder that may be issued to prevent dilution in connection with a stock split, stock dividend, recapitalization, or similar event or adjustment. In addition, an indeterminate number of ordinary shares are registered hereunder that may be issued upon conversion of or exchange for any other securities.</w:t>
      </w:r>
    </w:p>
    <w:p>
      <w:pPr>
        <w:spacing w:after="0" w:line="175" w:lineRule="exact"/>
        <w:rPr>
          <w:rFonts w:ascii="Times New Roman" w:cs="Times New Roman" w:eastAsia="Times New Roman" w:hAnsi="Times New Roman"/>
          <w:sz w:val="18"/>
          <w:szCs w:val="18"/>
          <w:color w:val="auto"/>
        </w:rPr>
      </w:pPr>
    </w:p>
    <w:p>
      <w:pPr>
        <w:jc w:val="both"/>
        <w:ind w:left="29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the securities of each identified class being registered as may be sold from time to time at indeterminate prices, with an initial aggregate public offering price not to exceed $100,000,000.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$100,000,000, less the aggregate dollar amount of all securities previously issued hereunder. Any securities registered hereunder may be sold separately or as part of units, which may consist of any combination of the securities registered hereunder.</w:t>
      </w:r>
    </w:p>
    <w:p>
      <w:pPr>
        <w:spacing w:after="0" w:line="80" w:lineRule="exact"/>
        <w:rPr>
          <w:rFonts w:ascii="Times New Roman" w:cs="Times New Roman" w:eastAsia="Times New Roman" w:hAnsi="Times New Roman"/>
          <w:sz w:val="18"/>
          <w:szCs w:val="18"/>
          <w:color w:val="auto"/>
        </w:rPr>
      </w:pPr>
    </w:p>
    <w:p>
      <w:pPr>
        <w:jc w:val="both"/>
        <w:ind w:left="292" w:hanging="292"/>
        <w:spacing w:after="0" w:line="266" w:lineRule="auto"/>
        <w:tabs>
          <w:tab w:leader="none" w:pos="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an indeterminate number of additional securities are registered hereunder that may be issued to prevent dilution in connection with a stock split, stock dividend, recapitalization, or similar event or adjustment. In addition, an indeterminate number of ordinary shares are registered hereunder that may be issued upon conversion of or exchange for any other securities.</w:t>
      </w:r>
    </w:p>
    <w:p>
      <w:pPr>
        <w:spacing w:after="0" w:line="175" w:lineRule="exact"/>
        <w:rPr>
          <w:rFonts w:ascii="Times New Roman" w:cs="Times New Roman" w:eastAsia="Times New Roman" w:hAnsi="Times New Roman"/>
          <w:sz w:val="18"/>
          <w:szCs w:val="18"/>
          <w:color w:val="auto"/>
        </w:rPr>
      </w:pPr>
    </w:p>
    <w:p>
      <w:pPr>
        <w:jc w:val="both"/>
        <w:ind w:left="29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the securities of each identified class being registered as may be sold from time to time at indeterminate prices, with an initial aggregate public offering price not to exceed $100,000,000.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$100,000,000, less the aggregate dollar amount of all securities previously issued hereunder. Any securities registered hereunder may be sold separately or as part of units, which may consist of any combination of the securities registered hereunder.</w:t>
      </w:r>
    </w:p>
    <w:p>
      <w:pPr>
        <w:spacing w:after="0" w:line="80" w:lineRule="exact"/>
        <w:rPr>
          <w:rFonts w:ascii="Times New Roman" w:cs="Times New Roman" w:eastAsia="Times New Roman" w:hAnsi="Times New Roman"/>
          <w:sz w:val="18"/>
          <w:szCs w:val="18"/>
          <w:color w:val="auto"/>
        </w:rPr>
      </w:pPr>
    </w:p>
    <w:p>
      <w:pPr>
        <w:jc w:val="both"/>
        <w:ind w:left="292" w:hanging="292"/>
        <w:spacing w:after="0" w:line="266" w:lineRule="auto"/>
        <w:tabs>
          <w:tab w:leader="none" w:pos="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an indeterminate number of additional securities are registered hereunder that may be issued to prevent dilution in connection with a stock split, stock dividend, recapitalization, or similar event or adjustment. In addition, an indeterminate number of ordinary shares are registered hereunder that may be issued upon conversion of or exchange for any other securities.</w:t>
      </w:r>
    </w:p>
    <w:p>
      <w:pPr>
        <w:spacing w:after="0" w:line="175" w:lineRule="exact"/>
        <w:rPr>
          <w:rFonts w:ascii="Times New Roman" w:cs="Times New Roman" w:eastAsia="Times New Roman" w:hAnsi="Times New Roman"/>
          <w:sz w:val="18"/>
          <w:szCs w:val="18"/>
          <w:color w:val="auto"/>
        </w:rPr>
      </w:pPr>
    </w:p>
    <w:p>
      <w:pPr>
        <w:jc w:val="both"/>
        <w:ind w:left="29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the securities of each identified class being registered as may be sold from time to time at indeterminate prices, with an initial aggregate public offering price not to exceed $100,000,000.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$100,000,000, less the aggregate dollar amount of all securities previously issued hereunder. Any securities registered hereunder may be sold separately or as part of units, which may consist of any combination of the securities registered hereunder.</w:t>
      </w:r>
    </w:p>
    <w:p>
      <w:pPr>
        <w:spacing w:after="0" w:line="80" w:lineRule="exact"/>
        <w:rPr>
          <w:rFonts w:ascii="Times New Roman" w:cs="Times New Roman" w:eastAsia="Times New Roman" w:hAnsi="Times New Roman"/>
          <w:sz w:val="18"/>
          <w:szCs w:val="18"/>
          <w:color w:val="auto"/>
        </w:rPr>
      </w:pPr>
    </w:p>
    <w:p>
      <w:pPr>
        <w:jc w:val="both"/>
        <w:ind w:left="292" w:hanging="292"/>
        <w:spacing w:after="0" w:line="266" w:lineRule="auto"/>
        <w:tabs>
          <w:tab w:leader="none" w:pos="292"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 under the Securities Act, an indeterminate number of additional securities are registered hereunder that may be issued to prevent dilution in connection with a stock split, stock dividend, recapitalization, or similar event or adjustment. In addition, an indeterminate number of ordinary shares are registered hereunder that may be issued upon conversion of or exchange for any other securities.</w:t>
      </w:r>
    </w:p>
    <w:p>
      <w:pPr>
        <w:spacing w:after="0" w:line="175" w:lineRule="exact"/>
        <w:rPr>
          <w:rFonts w:ascii="Times New Roman" w:cs="Times New Roman" w:eastAsia="Times New Roman" w:hAnsi="Times New Roman"/>
          <w:sz w:val="18"/>
          <w:szCs w:val="18"/>
          <w:color w:val="auto"/>
        </w:rPr>
      </w:pPr>
    </w:p>
    <w:p>
      <w:pPr>
        <w:jc w:val="both"/>
        <w:ind w:left="292"/>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being registered hereunder such indeterminate number of the securities of each identified class being registered as may be sold from time to time at indeterminate prices, with an initial aggregate public offering price not to exceed $100,000,000. Separate consideration may or may not be received for securities that are issuable on exercise, conversion or exchange of other securities or that are issued in units. To the extent that separate consideration is received for any such securities, the aggregate amount of such consideration will be included in the aggregate offering price of all securities sold. If any debt securities are issued at an original issue discount, then the offering may be in such greater principal amount as shall result in a maximum aggregate offering price not to exceed $100,000,000, less the aggregate dollar amount of all securities previously issued hereunder. Any securities registered hereunder may be sold separately or as part of units, which may consist of any combination of the securities registered hereunder.</w:t>
      </w:r>
    </w:p>
    <w:p>
      <w:pPr>
        <w:spacing w:after="0" w:line="188" w:lineRule="exact"/>
        <w:rPr>
          <w:rFonts w:ascii="Times New Roman" w:cs="Times New Roman" w:eastAsia="Times New Roman" w:hAnsi="Times New Roman"/>
          <w:sz w:val="18"/>
          <w:szCs w:val="18"/>
          <w:color w:val="auto"/>
        </w:rPr>
      </w:pPr>
    </w:p>
    <w:p>
      <w:pPr>
        <w:jc w:val="both"/>
        <w:ind w:left="292"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Instructions to the Calculation of Filing Fee Tables and Related Disclosure of Form F-3, the table does not specify by each class information as to the proposed maximum aggregate offering price. Any securities registered hereunder may be sold separately or as units with other securities registered hereunder.</w:t>
      </w:r>
    </w:p>
    <w:sectPr>
      <w:pgSz w:w="11900" w:h="16838" w:orient="portrait"/>
      <w:cols w:equalWidth="0" w:num="1">
        <w:col w:w="11172"/>
      </w:cols>
      <w:pgMar w:left="388"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447B73"/>
    <w:multiLevelType w:val="hybridMultilevel"/>
    <w:lvl w:ilvl="0">
      <w:lvlJc w:val="left"/>
      <w:lvlText w:val="†"/>
      <w:numFmt w:val="bullet"/>
      <w:start w:val="1"/>
    </w:lvl>
  </w:abstractNum>
  <w:abstractNum w:abstractNumId="1">
    <w:nsid w:val="42963E5A"/>
    <w:multiLevelType w:val="hybridMultilevel"/>
    <w:lvl w:ilvl="0">
      <w:lvlJc w:val="left"/>
      <w:lvlText w:val="●"/>
      <w:numFmt w:val="bullet"/>
      <w:start w:val="1"/>
    </w:lvl>
  </w:abstractNum>
  <w:abstractNum w:abstractNumId="2">
    <w:nsid w:val="A0382C5"/>
    <w:multiLevelType w:val="hybridMultilevel"/>
    <w:lvl w:ilvl="0">
      <w:lvlJc w:val="left"/>
      <w:lvlText w:val="●"/>
      <w:numFmt w:val="bullet"/>
      <w:start w:val="1"/>
    </w:lvl>
  </w:abstractNum>
  <w:abstractNum w:abstractNumId="3">
    <w:nsid w:val="8F2B15E"/>
    <w:multiLevelType w:val="hybridMultilevel"/>
    <w:lvl w:ilvl="0">
      <w:lvlJc w:val="left"/>
      <w:lvlText w:val="●"/>
      <w:numFmt w:val="bullet"/>
      <w:start w:val="1"/>
    </w:lvl>
  </w:abstractNum>
  <w:abstractNum w:abstractNumId="4">
    <w:nsid w:val="1A32234B"/>
    <w:multiLevelType w:val="hybridMultilevel"/>
    <w:lvl w:ilvl="0">
      <w:lvlJc w:val="left"/>
      <w:lvlText w:val="●"/>
      <w:numFmt w:val="bullet"/>
      <w:start w:val="1"/>
    </w:lvl>
  </w:abstractNum>
  <w:abstractNum w:abstractNumId="5">
    <w:nsid w:val="3B0FD379"/>
    <w:multiLevelType w:val="hybridMultilevel"/>
    <w:lvl w:ilvl="0">
      <w:lvlJc w:val="left"/>
      <w:lvlText w:val="●"/>
      <w:numFmt w:val="bullet"/>
      <w:start w:val="1"/>
    </w:lvl>
  </w:abstractNum>
  <w:abstractNum w:abstractNumId="6">
    <w:nsid w:val="68EB2F63"/>
    <w:multiLevelType w:val="hybridMultilevel"/>
    <w:lvl w:ilvl="0">
      <w:lvlJc w:val="left"/>
      <w:lvlText w:val="●"/>
      <w:numFmt w:val="bullet"/>
      <w:start w:val="1"/>
    </w:lvl>
  </w:abstractNum>
  <w:abstractNum w:abstractNumId="7">
    <w:nsid w:val="4962813B"/>
    <w:multiLevelType w:val="hybridMultilevel"/>
    <w:lvl w:ilvl="0">
      <w:lvlJc w:val="left"/>
      <w:lvlText w:val="●"/>
      <w:numFmt w:val="bullet"/>
      <w:start w:val="1"/>
    </w:lvl>
  </w:abstractNum>
  <w:abstractNum w:abstractNumId="8">
    <w:nsid w:val="60B6DF70"/>
    <w:multiLevelType w:val="hybridMultilevel"/>
    <w:lvl w:ilvl="0">
      <w:lvlJc w:val="left"/>
      <w:lvlText w:val="●"/>
      <w:numFmt w:val="bullet"/>
      <w:start w:val="1"/>
    </w:lvl>
  </w:abstractNum>
  <w:abstractNum w:abstractNumId="9">
    <w:nsid w:val="6A5EE64"/>
    <w:multiLevelType w:val="hybridMultilevel"/>
    <w:lvl w:ilvl="0">
      <w:lvlJc w:val="left"/>
      <w:lvlText w:val="●"/>
      <w:numFmt w:val="bullet"/>
      <w:start w:val="1"/>
    </w:lvl>
  </w:abstractNum>
  <w:abstractNum w:abstractNumId="10">
    <w:nsid w:val="14330624"/>
    <w:multiLevelType w:val="hybridMultilevel"/>
    <w:lvl w:ilvl="0">
      <w:lvlJc w:val="left"/>
      <w:lvlText w:val="●"/>
      <w:numFmt w:val="bullet"/>
      <w:start w:val="1"/>
    </w:lvl>
  </w:abstractNum>
  <w:abstractNum w:abstractNumId="11">
    <w:nsid w:val="7FFFCA11"/>
    <w:multiLevelType w:val="hybridMultilevel"/>
    <w:lvl w:ilvl="0">
      <w:lvlJc w:val="left"/>
      <w:lvlText w:val="●"/>
      <w:numFmt w:val="bullet"/>
      <w:start w:val="1"/>
    </w:lvl>
  </w:abstractNum>
  <w:abstractNum w:abstractNumId="12">
    <w:nsid w:val="1A27709E"/>
    <w:multiLevelType w:val="hybridMultilevel"/>
    <w:lvl w:ilvl="0">
      <w:lvlJc w:val="left"/>
      <w:lvlText w:val="●"/>
      <w:numFmt w:val="bullet"/>
      <w:start w:val="1"/>
    </w:lvl>
  </w:abstractNum>
  <w:abstractNum w:abstractNumId="13">
    <w:nsid w:val="71EA1109"/>
    <w:multiLevelType w:val="hybridMultilevel"/>
    <w:lvl w:ilvl="0">
      <w:lvlJc w:val="left"/>
      <w:lvlText w:val="●"/>
      <w:numFmt w:val="bullet"/>
      <w:start w:val="1"/>
    </w:lvl>
  </w:abstractNum>
  <w:abstractNum w:abstractNumId="14">
    <w:nsid w:val="100F59DC"/>
    <w:multiLevelType w:val="hybridMultilevel"/>
    <w:lvl w:ilvl="0">
      <w:lvlJc w:val="left"/>
      <w:lvlText w:val="●"/>
      <w:numFmt w:val="bullet"/>
      <w:start w:val="1"/>
    </w:lvl>
  </w:abstractNum>
  <w:abstractNum w:abstractNumId="15">
    <w:nsid w:val="7FB7E0AA"/>
    <w:multiLevelType w:val="hybridMultilevel"/>
    <w:lvl w:ilvl="0">
      <w:lvlJc w:val="left"/>
      <w:lvlText w:val="●"/>
      <w:numFmt w:val="bullet"/>
      <w:start w:val="1"/>
    </w:lvl>
  </w:abstractNum>
  <w:abstractNum w:abstractNumId="16">
    <w:nsid w:val="6EB5BD4"/>
    <w:multiLevelType w:val="hybridMultilevel"/>
    <w:lvl w:ilvl="0">
      <w:lvlJc w:val="left"/>
      <w:lvlText w:val="●"/>
      <w:numFmt w:val="bullet"/>
      <w:start w:val="1"/>
    </w:lvl>
  </w:abstractNum>
  <w:abstractNum w:abstractNumId="17">
    <w:nsid w:val="6F6DD9AC"/>
    <w:multiLevelType w:val="hybridMultilevel"/>
    <w:lvl w:ilvl="0">
      <w:lvlJc w:val="left"/>
      <w:lvlText w:val="●"/>
      <w:numFmt w:val="bullet"/>
      <w:start w:val="1"/>
    </w:lvl>
  </w:abstractNum>
  <w:abstractNum w:abstractNumId="18">
    <w:nsid w:val="94211F2"/>
    <w:multiLevelType w:val="hybridMultilevel"/>
    <w:lvl w:ilvl="0">
      <w:lvlJc w:val="left"/>
      <w:lvlText w:val="●"/>
      <w:numFmt w:val="bullet"/>
      <w:start w:val="1"/>
    </w:lvl>
  </w:abstractNum>
  <w:abstractNum w:abstractNumId="19">
    <w:nsid w:val="885E1B"/>
    <w:multiLevelType w:val="hybridMultilevel"/>
    <w:lvl w:ilvl="0">
      <w:lvlJc w:val="left"/>
      <w:lvlText w:val="(%1)"/>
      <w:numFmt w:val="decimal"/>
      <w:start w:val="1"/>
    </w:lvl>
  </w:abstractNum>
  <w:abstractNum w:abstractNumId="20">
    <w:nsid w:val="76272110"/>
    <w:multiLevelType w:val="hybridMultilevel"/>
    <w:lvl w:ilvl="0">
      <w:lvlJc w:val="left"/>
      <w:lvlText w:val="●"/>
      <w:numFmt w:val="bullet"/>
      <w:start w:val="1"/>
    </w:lvl>
  </w:abstractNum>
  <w:abstractNum w:abstractNumId="21">
    <w:nsid w:val="4C04A8AF"/>
    <w:multiLevelType w:val="hybridMultilevel"/>
    <w:lvl w:ilvl="0">
      <w:lvlJc w:val="left"/>
      <w:lvlText w:val="(%1)"/>
      <w:numFmt w:val="decimal"/>
      <w:start w:val="1"/>
    </w:lvl>
  </w:abstractNum>
  <w:abstractNum w:abstractNumId="22">
    <w:nsid w:val="1716703B"/>
    <w:multiLevelType w:val="hybridMultilevel"/>
    <w:lvl w:ilvl="0">
      <w:lvlJc w:val="left"/>
      <w:lvlText w:val="●"/>
      <w:numFmt w:val="bullet"/>
      <w:start w:val="1"/>
    </w:lvl>
  </w:abstractNum>
  <w:abstractNum w:abstractNumId="23">
    <w:nsid w:val="14E17E33"/>
    <w:multiLevelType w:val="hybridMultilevel"/>
    <w:lvl w:ilvl="0">
      <w:lvlJc w:val="left"/>
      <w:lvlText w:val="●"/>
      <w:numFmt w:val="bullet"/>
      <w:start w:val="1"/>
    </w:lvl>
  </w:abstractNum>
  <w:abstractNum w:abstractNumId="24">
    <w:nsid w:val="3222E7CD"/>
    <w:multiLevelType w:val="hybridMultilevel"/>
    <w:lvl w:ilvl="0">
      <w:lvlJc w:val="left"/>
      <w:lvlText w:val="●"/>
      <w:numFmt w:val="bullet"/>
      <w:start w:val="1"/>
    </w:lvl>
  </w:abstractNum>
  <w:abstractNum w:abstractNumId="25">
    <w:nsid w:val="74DE0EE3"/>
    <w:multiLevelType w:val="hybridMultilevel"/>
    <w:lvl w:ilvl="0">
      <w:lvlJc w:val="left"/>
      <w:lvlText w:val="(%1)"/>
      <w:numFmt w:val="lowerLetter"/>
      <w:start w:val="1"/>
    </w:lvl>
  </w:abstractNum>
  <w:abstractNum w:abstractNumId="26">
    <w:nsid w:val="68EBC550"/>
    <w:multiLevelType w:val="hybridMultilevel"/>
    <w:lvl w:ilvl="0">
      <w:lvlJc w:val="left"/>
      <w:lvlText w:val="%1"/>
      <w:numFmt w:val="decimal"/>
      <w:start w:val="107"/>
    </w:lvl>
  </w:abstractNum>
  <w:abstractNum w:abstractNumId="27">
    <w:nsid w:val="2DF6D648"/>
    <w:multiLevelType w:val="hybridMultilevel"/>
    <w:lvl w:ilvl="0">
      <w:lvlJc w:val="left"/>
      <w:lvlText w:val="**"/>
      <w:numFmt w:val="bullet"/>
      <w:start w:val="1"/>
    </w:lvl>
  </w:abstractNum>
  <w:abstractNum w:abstractNumId="28">
    <w:nsid w:val="46B7D447"/>
    <w:multiLevelType w:val="hybridMultilevel"/>
    <w:lvl w:ilvl="0">
      <w:lvlJc w:val="left"/>
      <w:lvlText w:val="*"/>
      <w:numFmt w:val="bullet"/>
      <w:start w:val="1"/>
    </w:lvl>
  </w:abstractNum>
  <w:abstractNum w:abstractNumId="29">
    <w:nsid w:val="4A2AC315"/>
    <w:multiLevelType w:val="hybridMultilevel"/>
    <w:lvl w:ilvl="0">
      <w:lvlJc w:val="left"/>
      <w:lvlText w:val="#"/>
      <w:numFmt w:val="bullet"/>
      <w:start w:val="1"/>
    </w:lvl>
  </w:abstractNum>
  <w:abstractNum w:abstractNumId="30">
    <w:nsid w:val="39EE015C"/>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1">
    <w:nsid w:val="57FC4FBB"/>
    <w:multiLevelType w:val="hybridMultilevel"/>
    <w:lvl w:ilvl="0">
      <w:lvlJc w:val="left"/>
      <w:lvlText w:val="(%1)"/>
      <w:numFmt w:val="decimal"/>
      <w:start w:val="2"/>
    </w:lvl>
    <w:lvl w:ilvl="1">
      <w:lvlJc w:val="left"/>
      <w:lvlText w:val="(%2)"/>
      <w:numFmt w:val="lowerRoman"/>
      <w:start w:val="1"/>
    </w:lvl>
  </w:abstractNum>
  <w:abstractNum w:abstractNumId="32">
    <w:nsid w:val="CC1016F"/>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33">
    <w:nsid w:val="43F18422"/>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34">
    <w:nsid w:val="60EF0119"/>
    <w:multiLevelType w:val="hybridMultilevel"/>
    <w:lvl w:ilvl="0">
      <w:lvlJc w:val="left"/>
      <w:lvlText w:val="(%1)"/>
      <w:numFmt w:val="decimal"/>
      <w:start w:val="1"/>
    </w:lvl>
  </w:abstractNum>
  <w:abstractNum w:abstractNumId="35">
    <w:nsid w:val="26F324BA"/>
    <w:multiLevelType w:val="hybridMultilevel"/>
    <w:lvl w:ilvl="0">
      <w:lvlJc w:val="left"/>
      <w:lvlText w:val="(%1)"/>
      <w:numFmt w:val="lowerLetter"/>
      <w:start w:val="1"/>
    </w:lvl>
    <w:lvl w:ilvl="1">
      <w:lvlJc w:val="left"/>
      <w:lvlText w:val="(%2)"/>
      <w:numFmt w:val="decimal"/>
      <w:start w:val="1"/>
    </w:lvl>
  </w:abstractNum>
  <w:abstractNum w:abstractNumId="36">
    <w:nsid w:val="7F01579B"/>
    <w:multiLevelType w:val="hybridMultilevel"/>
    <w:lvl w:ilvl="0">
      <w:lvlJc w:val="left"/>
      <w:lvlText w:val="(%1)"/>
      <w:numFmt w:val="decimal"/>
      <w:start w:val="9"/>
    </w:lvl>
  </w:abstractNum>
  <w:abstractNum w:abstractNumId="37">
    <w:nsid w:val="49DA307D"/>
    <w:multiLevelType w:val="hybridMultilevel"/>
    <w:lvl w:ilvl="0">
      <w:lvlJc w:val="left"/>
      <w:lvlText w:val="(%1)"/>
      <w:numFmt w:val="decimal"/>
      <w:start w:val="17"/>
    </w:lvl>
  </w:abstractNum>
  <w:abstractNum w:abstractNumId="38">
    <w:nsid w:val="7055A5F5"/>
    <w:multiLevelType w:val="hybridMultilevel"/>
    <w:lvl w:ilvl="0">
      <w:lvlJc w:val="left"/>
      <w:lvlText w:val="(%1)"/>
      <w:numFmt w:val="decimal"/>
      <w:start w:val="1"/>
    </w:lvl>
  </w:abstractNum>
  <w:abstractNum w:abstractNumId="39">
    <w:nsid w:val="5FB8370B"/>
    <w:multiLevelType w:val="hybridMultilevel"/>
    <w:lvl w:ilvl="0">
      <w:lvlJc w:val="left"/>
      <w:lvlText w:val="(%1)"/>
      <w:numFmt w:val="lowerLetter"/>
      <w:start w:val="1"/>
    </w:lvl>
  </w:abstractNum>
  <w:abstractNum w:abstractNumId="40">
    <w:nsid w:val="50801EE1"/>
    <w:multiLevelType w:val="hybridMultilevel"/>
    <w:lvl w:ilvl="0">
      <w:lvlJc w:val="left"/>
      <w:lvlText w:val="(%1)"/>
      <w:numFmt w:val="lowerLetter"/>
      <w:start w:val="3"/>
    </w:lvl>
  </w:abstractNum>
  <w:abstractNum w:abstractNumId="41">
    <w:nsid w:val="488AC1A"/>
    <w:multiLevelType w:val="hybridMultilevel"/>
    <w:lvl w:ilvl="0">
      <w:lvlJc w:val="left"/>
      <w:lvlText w:val="(%1)"/>
      <w:numFmt w:val="lowerLetter"/>
      <w:start w:val="1"/>
    </w:lvl>
  </w:abstractNum>
  <w:abstractNum w:abstractNumId="42">
    <w:nsid w:val="5FB8011C"/>
    <w:multiLevelType w:val="hybridMultilevel"/>
    <w:lvl w:ilvl="0">
      <w:lvlJc w:val="left"/>
      <w:lvlText w:val="(%1)"/>
      <w:numFmt w:val="lowerLetter"/>
      <w:start w:val="1"/>
    </w:lvl>
  </w:abstractNum>
  <w:abstractNum w:abstractNumId="43">
    <w:nsid w:val="6AA78F7F"/>
    <w:multiLevelType w:val="hybridMultilevel"/>
    <w:lvl w:ilvl="0">
      <w:lvlJc w:val="left"/>
      <w:lvlText w:val="(%1)"/>
      <w:numFmt w:val="lowerLetter"/>
      <w:start w:val="2"/>
    </w:lvl>
  </w:abstractNum>
  <w:abstractNum w:abstractNumId="44">
    <w:nsid w:val="7672BD23"/>
    <w:multiLevelType w:val="hybridMultilevel"/>
    <w:lvl w:ilvl="0">
      <w:lvlJc w:val="left"/>
      <w:lvlText w:val="(%1)"/>
      <w:numFmt w:val="lowerLetter"/>
      <w:start w:val="1"/>
    </w:lvl>
  </w:abstractNum>
  <w:abstractNum w:abstractNumId="45">
    <w:nsid w:val="6FC75AF8"/>
    <w:multiLevelType w:val="hybridMultilevel"/>
    <w:lvl w:ilvl="0">
      <w:lvlJc w:val="left"/>
      <w:lvlText w:val="(%1)"/>
      <w:numFmt w:val="lowerLetter"/>
      <w:start w:val="1"/>
    </w:lvl>
    <w:lvl w:ilvl="1">
      <w:lvlJc w:val="left"/>
      <w:lvlText w:val="(%2)"/>
      <w:numFmt w:val="decimal"/>
      <w:start w:val="1"/>
    </w:lvl>
  </w:abstractNum>
  <w:abstractNum w:abstractNumId="46">
    <w:nsid w:val="6A5F7029"/>
    <w:multiLevelType w:val="hybridMultilevel"/>
    <w:lvl w:ilvl="0">
      <w:lvlJc w:val="left"/>
      <w:lvlText w:val="(%1)"/>
      <w:numFmt w:val="lowerLetter"/>
      <w:start w:val="2"/>
    </w:lvl>
  </w:abstractNum>
  <w:abstractNum w:abstractNumId="47">
    <w:nsid w:val="7D5E18F8"/>
    <w:multiLevelType w:val="hybridMultilevel"/>
    <w:lvl w:ilvl="0">
      <w:lvlJc w:val="left"/>
      <w:lvlText w:val="(%1)"/>
      <w:numFmt w:val="lowerLetter"/>
      <w:start w:val="1"/>
    </w:lvl>
  </w:abstractNum>
  <w:abstractNum w:abstractNumId="48">
    <w:nsid w:val="5F3534A4"/>
    <w:multiLevelType w:val="hybridMultilevel"/>
    <w:lvl w:ilvl="0">
      <w:lvlJc w:val="left"/>
      <w:lvlText w:val="(%1)"/>
      <w:numFmt w:val="lowerLetter"/>
      <w:start w:val="1"/>
    </w:lvl>
  </w:abstractNum>
  <w:abstractNum w:abstractNumId="49">
    <w:nsid w:val="73A1821B"/>
    <w:multiLevelType w:val="hybridMultilevel"/>
    <w:lvl w:ilvl="0">
      <w:lvlJc w:val="left"/>
      <w:lvlText w:val="(%1)"/>
      <w:numFmt w:val="lowerLetter"/>
      <w:start w:val="1"/>
    </w:lvl>
    <w:lvl w:ilvl="1">
      <w:lvlJc w:val="left"/>
      <w:lvlText w:val="(%2)"/>
      <w:numFmt w:val="decimal"/>
      <w:start w:val="1"/>
    </w:lvl>
  </w:abstractNum>
  <w:abstractNum w:abstractNumId="50">
    <w:nsid w:val="7DE67713"/>
    <w:multiLevelType w:val="hybridMultilevel"/>
    <w:lvl w:ilvl="0">
      <w:lvlJc w:val="left"/>
      <w:lvlText w:val="%1"/>
      <w:numFmt w:val="lowerLetter"/>
      <w:start w:val="1"/>
    </w:lvl>
    <w:lvl w:ilvl="1">
      <w:lvlJc w:val="left"/>
      <w:lvlText w:val="(%2)"/>
      <w:numFmt w:val="decimal"/>
      <w:start w:val="2"/>
    </w:lvl>
  </w:abstractNum>
  <w:abstractNum w:abstractNumId="51">
    <w:nsid w:val="555C55B5"/>
    <w:multiLevelType w:val="hybridMultilevel"/>
    <w:lvl w:ilvl="0">
      <w:lvlJc w:val="left"/>
      <w:lvlText w:val="(%1)"/>
      <w:numFmt w:val="lowerLetter"/>
      <w:start w:val="2"/>
    </w:lvl>
    <w:lvl w:ilvl="1">
      <w:lvlJc w:val="left"/>
      <w:lvlText w:val="%2"/>
      <w:numFmt w:val="decimal"/>
      <w:start w:val="1"/>
    </w:lvl>
  </w:abstractNum>
  <w:abstractNum w:abstractNumId="52">
    <w:nsid w:val="3FA62ACA"/>
    <w:multiLevelType w:val="hybridMultilevel"/>
    <w:lvl w:ilvl="0">
      <w:lvlJc w:val="left"/>
      <w:lvlText w:val="(%1)"/>
      <w:numFmt w:val="lowerLetter"/>
      <w:start w:val="3"/>
    </w:lvl>
  </w:abstractNum>
  <w:abstractNum w:abstractNumId="53">
    <w:nsid w:val="14FCE74E"/>
    <w:multiLevelType w:val="hybridMultilevel"/>
    <w:lvl w:ilvl="0">
      <w:lvlJc w:val="left"/>
      <w:lvlText w:val="(%1)"/>
      <w:numFmt w:val="lowerLetter"/>
      <w:start w:val="4"/>
    </w:lvl>
  </w:abstractNum>
  <w:abstractNum w:abstractNumId="54">
    <w:nsid w:val="6A3DD3E8"/>
    <w:multiLevelType w:val="hybridMultilevel"/>
    <w:lvl w:ilvl="0">
      <w:lvlJc w:val="left"/>
      <w:lvlText w:val="(%1)"/>
      <w:numFmt w:val="lowerLetter"/>
      <w:start w:val="1"/>
    </w:lvl>
  </w:abstractNum>
  <w:abstractNum w:abstractNumId="55">
    <w:nsid w:val="71C91298"/>
    <w:multiLevelType w:val="hybridMultilevel"/>
    <w:lvl w:ilvl="0">
      <w:lvlJc w:val="left"/>
      <w:lvlText w:val="(%1)"/>
      <w:numFmt w:val="lowerLetter"/>
      <w:start w:val="3"/>
    </w:lvl>
  </w:abstractNum>
  <w:abstractNum w:abstractNumId="56">
    <w:nsid w:val="9DAF632"/>
    <w:multiLevelType w:val="hybridMultilevel"/>
    <w:lvl w:ilvl="0">
      <w:lvlJc w:val="left"/>
      <w:lvlText w:val="(%1)"/>
      <w:numFmt w:val="lowerLetter"/>
      <w:start w:val="1"/>
    </w:lvl>
  </w:abstractNum>
  <w:abstractNum w:abstractNumId="57">
    <w:nsid w:val="53299938"/>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abstractNum>
  <w:abstractNum w:abstractNumId="58">
    <w:nsid w:val="1FBFE8E0"/>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59">
    <w:nsid w:val="5092CA79"/>
    <w:multiLevelType w:val="hybridMultilevel"/>
    <w:lvl w:ilvl="0">
      <w:lvlJc w:val="left"/>
      <w:lvlText w:val="(%1)"/>
      <w:numFmt w:val="lowerLetter"/>
      <w:start w:val="1"/>
    </w:lvl>
  </w:abstractNum>
  <w:abstractNum w:abstractNumId="60">
    <w:nsid w:val="1D545C4D"/>
    <w:multiLevelType w:val="hybridMultilevel"/>
    <w:lvl w:ilvl="0">
      <w:lvlJc w:val="left"/>
      <w:lvlText w:val="(%1)"/>
      <w:numFmt w:val="lowerLetter"/>
      <w:start w:val="2"/>
    </w:lvl>
  </w:abstractNum>
  <w:abstractNum w:abstractNumId="61">
    <w:nsid w:val="59ADEA3D"/>
    <w:multiLevelType w:val="hybridMultilevel"/>
    <w:lvl w:ilvl="0">
      <w:lvlJc w:val="left"/>
      <w:lvlText w:val="(%1)"/>
      <w:numFmt w:val="lowerLetter"/>
      <w:start w:val="1"/>
    </w:lvl>
  </w:abstractNum>
  <w:abstractNum w:abstractNumId="62">
    <w:nsid w:val="288F1A34"/>
    <w:multiLevelType w:val="hybridMultilevel"/>
    <w:lvl w:ilvl="0">
      <w:lvlJc w:val="left"/>
      <w:lvlText w:val="(%1)"/>
      <w:numFmt w:val="lowerLetter"/>
      <w:start w:val="1"/>
    </w:lvl>
  </w:abstractNum>
  <w:abstractNum w:abstractNumId="63">
    <w:nsid w:val="2A155DBC"/>
    <w:multiLevelType w:val="hybridMultilevel"/>
    <w:lvl w:ilvl="0">
      <w:lvlJc w:val="left"/>
      <w:lvlText w:val="(%1)"/>
      <w:numFmt w:val="lowerLetter"/>
      <w:start w:val="2"/>
    </w:lvl>
  </w:abstractNum>
  <w:abstractNum w:abstractNumId="64">
    <w:nsid w:val="1D9F6E5F"/>
    <w:multiLevelType w:val="hybridMultilevel"/>
    <w:lvl w:ilvl="0">
      <w:lvlJc w:val="left"/>
      <w:lvlText w:val="(%1)"/>
      <w:numFmt w:val="lowerLetter"/>
      <w:start w:val="1"/>
    </w:lvl>
  </w:abstractNum>
  <w:abstractNum w:abstractNumId="65">
    <w:nsid w:val="97E1B4E"/>
    <w:multiLevelType w:val="hybridMultilevel"/>
    <w:lvl w:ilvl="0">
      <w:lvlJc w:val="left"/>
      <w:lvlText w:val="(%1)"/>
      <w:numFmt w:val="lowerLetter"/>
      <w:start w:val="2"/>
    </w:lvl>
    <w:lvl w:ilvl="1">
      <w:lvlJc w:val="left"/>
      <w:lvlText w:val="(%2)"/>
      <w:numFmt w:val="lowerRoman"/>
      <w:start w:val="1"/>
    </w:lvl>
  </w:abstractNum>
  <w:abstractNum w:abstractNumId="66">
    <w:nsid w:val="51088277"/>
    <w:multiLevelType w:val="hybridMultilevel"/>
    <w:lvl w:ilvl="0">
      <w:lvlJc w:val="left"/>
      <w:lvlText w:val="(%1)"/>
      <w:numFmt w:val="lowerLetter"/>
      <w:start w:val="1"/>
    </w:lvl>
  </w:abstractNum>
  <w:abstractNum w:abstractNumId="67">
    <w:nsid w:val="1CA0C5FA"/>
    <w:multiLevelType w:val="hybridMultilevel"/>
    <w:lvl w:ilvl="0">
      <w:lvlJc w:val="left"/>
      <w:lvlText w:val="(%1)"/>
      <w:numFmt w:val="lowerLetter"/>
      <w:start w:val="1"/>
    </w:lvl>
  </w:abstractNum>
  <w:abstractNum w:abstractNumId="68">
    <w:nsid w:val="53584BCB"/>
    <w:multiLevelType w:val="hybridMultilevel"/>
    <w:lvl w:ilvl="0">
      <w:lvlJc w:val="left"/>
      <w:lvlText w:val="(%1)"/>
      <w:numFmt w:val="lowerLetter"/>
      <w:start w:val="1"/>
    </w:lvl>
  </w:abstractNum>
  <w:abstractNum w:abstractNumId="69">
    <w:nsid w:val="415E286C"/>
    <w:multiLevelType w:val="hybridMultilevel"/>
    <w:lvl w:ilvl="0">
      <w:lvlJc w:val="left"/>
      <w:lvlText w:val="(%1)"/>
      <w:numFmt w:val="lowerLetter"/>
      <w:start w:val="1"/>
    </w:lvl>
  </w:abstractNum>
  <w:abstractNum w:abstractNumId="70">
    <w:nsid w:val="7C58FD05"/>
    <w:multiLevelType w:val="hybridMultilevel"/>
    <w:lvl w:ilvl="0">
      <w:lvlJc w:val="left"/>
      <w:lvlText w:val="(%1)"/>
      <w:numFmt w:val="lowerLetter"/>
      <w:start w:val="1"/>
    </w:lvl>
  </w:abstractNum>
  <w:abstractNum w:abstractNumId="71">
    <w:nsid w:val="23D86AAC"/>
    <w:multiLevelType w:val="hybridMultilevel"/>
    <w:lvl w:ilvl="0">
      <w:lvlJc w:val="left"/>
      <w:lvlText w:val="(%1)"/>
      <w:numFmt w:val="decimal"/>
      <w:start w:val="1"/>
    </w:lvl>
  </w:abstractNum>
  <w:abstractNum w:abstractNumId="72">
    <w:nsid w:val="45E6D486"/>
    <w:multiLevelType w:val="hybridMultilevel"/>
    <w:lvl w:ilvl="0">
      <w:lvlJc w:val="left"/>
      <w:lvlText w:val="(%1)"/>
      <w:numFmt w:val="decimal"/>
      <w:start w:val="1"/>
    </w:lvl>
  </w:abstractNum>
  <w:abstractNum w:abstractNumId="73">
    <w:nsid w:val="5C10FE21"/>
    <w:multiLevelType w:val="hybridMultilevel"/>
    <w:lvl w:ilvl="0">
      <w:lvlJc w:val="left"/>
      <w:lvlText w:val="(%1)"/>
      <w:numFmt w:val="lowerLetter"/>
      <w:start w:val="1"/>
    </w:lvl>
    <w:lvl w:ilvl="1">
      <w:lvlJc w:val="left"/>
      <w:lvlText w:val="(%2)"/>
      <w:numFmt w:val="decimal"/>
      <w:start w:val="1"/>
    </w:lvl>
  </w:abstractNum>
  <w:abstractNum w:abstractNumId="74">
    <w:nsid w:val="E7FFA2B"/>
    <w:multiLevelType w:val="hybridMultilevel"/>
    <w:lvl w:ilvl="0">
      <w:lvlJc w:val="left"/>
      <w:lvlText w:val="(%1)"/>
      <w:numFmt w:val="decimal"/>
      <w:start w:val="4"/>
    </w:lvl>
  </w:abstractNum>
  <w:abstractNum w:abstractNumId="75">
    <w:nsid w:val="3C5991AA"/>
    <w:multiLevelType w:val="hybridMultilevel"/>
    <w:lvl w:ilvl="0">
      <w:lvlJc w:val="left"/>
      <w:lvlText w:val="(%1)"/>
      <w:numFmt w:val="decimal"/>
      <w:start w:val="15"/>
    </w:lvl>
  </w:abstractNum>
  <w:abstractNum w:abstractNumId="76">
    <w:nsid w:val="4BD8591A"/>
    <w:multiLevelType w:val="hybridMultilevel"/>
    <w:lvl w:ilvl="0">
      <w:lvlJc w:val="left"/>
      <w:lvlText w:val="(%1)"/>
      <w:numFmt w:val="decimal"/>
      <w:start w:val="1"/>
    </w:lvl>
  </w:abstractNum>
  <w:abstractNum w:abstractNumId="77">
    <w:nsid w:val="78DF6A55"/>
    <w:multiLevelType w:val="hybridMultilevel"/>
    <w:lvl w:ilvl="0">
      <w:lvlJc w:val="left"/>
      <w:lvlText w:val="(%1)"/>
      <w:numFmt w:val="lowerLetter"/>
      <w:start w:val="1"/>
    </w:lvl>
  </w:abstractNum>
  <w:abstractNum w:abstractNumId="78">
    <w:nsid w:val="39B7AAA2"/>
    <w:multiLevelType w:val="hybridMultilevel"/>
    <w:lvl w:ilvl="0">
      <w:lvlJc w:val="left"/>
      <w:lvlText w:val="(%1)"/>
      <w:numFmt w:val="lowerLetter"/>
      <w:start w:val="3"/>
    </w:lvl>
  </w:abstractNum>
  <w:abstractNum w:abstractNumId="79">
    <w:nsid w:val="2B0D8DBE"/>
    <w:multiLevelType w:val="hybridMultilevel"/>
    <w:lvl w:ilvl="0">
      <w:lvlJc w:val="left"/>
      <w:lvlText w:val="(%1)"/>
      <w:numFmt w:val="lowerLetter"/>
      <w:start w:val="1"/>
    </w:lvl>
  </w:abstractNum>
  <w:abstractNum w:abstractNumId="80">
    <w:nsid w:val="6C80EC70"/>
    <w:multiLevelType w:val="hybridMultilevel"/>
    <w:lvl w:ilvl="0">
      <w:lvlJc w:val="left"/>
      <w:lvlText w:val="(%1)"/>
      <w:numFmt w:val="lowerLetter"/>
      <w:start w:val="3"/>
    </w:lvl>
  </w:abstractNum>
  <w:abstractNum w:abstractNumId="81">
    <w:nsid w:val="379E21B5"/>
    <w:multiLevelType w:val="hybridMultilevel"/>
    <w:lvl w:ilvl="0">
      <w:lvlJc w:val="left"/>
      <w:lvlText w:val="(%1)"/>
      <w:numFmt w:val="lowerLetter"/>
      <w:start w:val="1"/>
    </w:lvl>
  </w:abstractNum>
  <w:abstractNum w:abstractNumId="82">
    <w:nsid w:val="69E373"/>
    <w:multiLevelType w:val="hybridMultilevel"/>
    <w:lvl w:ilvl="0">
      <w:lvlJc w:val="left"/>
      <w:lvlText w:val="(%1)"/>
      <w:numFmt w:val="lowerLetter"/>
      <w:start w:val="2"/>
    </w:lvl>
  </w:abstractNum>
  <w:abstractNum w:abstractNumId="83">
    <w:nsid w:val="2C27173B"/>
    <w:multiLevelType w:val="hybridMultilevel"/>
    <w:lvl w:ilvl="0">
      <w:lvlJc w:val="left"/>
      <w:lvlText w:val="(%1)"/>
      <w:numFmt w:val="lowerLetter"/>
      <w:start w:val="1"/>
    </w:lvl>
  </w:abstractNum>
  <w:abstractNum w:abstractNumId="84">
    <w:nsid w:val="4C9B0904"/>
    <w:multiLevelType w:val="hybridMultilevel"/>
    <w:lvl w:ilvl="0">
      <w:lvlJc w:val="left"/>
      <w:lvlText w:val="(%1)"/>
      <w:numFmt w:val="lowerLetter"/>
      <w:start w:val="1"/>
    </w:lvl>
    <w:lvl w:ilvl="1">
      <w:lvlJc w:val="left"/>
      <w:lvlText w:val="(%2)"/>
      <w:numFmt w:val="decimal"/>
      <w:start w:val="1"/>
    </w:lvl>
  </w:abstractNum>
  <w:abstractNum w:abstractNumId="85">
    <w:nsid w:val="6AA7B75C"/>
    <w:multiLevelType w:val="hybridMultilevel"/>
    <w:lvl w:ilvl="0">
      <w:lvlJc w:val="left"/>
      <w:lvlText w:val="(%1)"/>
      <w:numFmt w:val="lowerLetter"/>
      <w:start w:val="3"/>
    </w:lvl>
  </w:abstractNum>
  <w:abstractNum w:abstractNumId="86">
    <w:nsid w:val="1DF029D3"/>
    <w:multiLevelType w:val="hybridMultilevel"/>
    <w:lvl w:ilvl="0">
      <w:lvlJc w:val="left"/>
      <w:lvlText w:val="(%1)"/>
      <w:numFmt w:val="lowerLetter"/>
      <w:start w:val="1"/>
    </w:lvl>
  </w:abstractNum>
  <w:abstractNum w:abstractNumId="87">
    <w:nsid w:val="5675FF36"/>
    <w:multiLevelType w:val="hybridMultilevel"/>
    <w:lvl w:ilvl="0">
      <w:lvlJc w:val="left"/>
      <w:lvlText w:val="(%1)"/>
      <w:numFmt w:val="lowerLetter"/>
      <w:start w:val="1"/>
    </w:lvl>
  </w:abstractNum>
  <w:abstractNum w:abstractNumId="88">
    <w:nsid w:val="3DD15094"/>
    <w:multiLevelType w:val="hybridMultilevel"/>
    <w:lvl w:ilvl="0">
      <w:lvlJc w:val="left"/>
      <w:lvlText w:val="(%1)"/>
      <w:numFmt w:val="lowerLetter"/>
      <w:start w:val="1"/>
    </w:lvl>
    <w:lvl w:ilvl="1">
      <w:lvlJc w:val="left"/>
      <w:lvlText w:val="(%2)"/>
      <w:numFmt w:val="decimal"/>
      <w:start w:val="1"/>
    </w:lvl>
  </w:abstractNum>
  <w:abstractNum w:abstractNumId="89">
    <w:nsid w:val="3DB012B3"/>
    <w:multiLevelType w:val="hybridMultilevel"/>
    <w:lvl w:ilvl="0">
      <w:lvlJc w:val="left"/>
      <w:lvlText w:val="%1"/>
      <w:numFmt w:val="lowerLetter"/>
      <w:start w:val="1"/>
    </w:lvl>
    <w:lvl w:ilvl="1">
      <w:lvlJc w:val="left"/>
      <w:lvlText w:val="(%2)"/>
      <w:numFmt w:val="decimal"/>
      <w:start w:val="3"/>
    </w:lvl>
  </w:abstractNum>
  <w:abstractNum w:abstractNumId="90">
    <w:nsid w:val="2708C9AF"/>
    <w:multiLevelType w:val="hybridMultilevel"/>
    <w:lvl w:ilvl="0">
      <w:lvlJc w:val="left"/>
      <w:lvlText w:val="(%1)"/>
      <w:numFmt w:val="lowerLetter"/>
      <w:start w:val="2"/>
    </w:lvl>
    <w:lvl w:ilvl="1">
      <w:lvlJc w:val="left"/>
      <w:lvlText w:val="%2"/>
      <w:numFmt w:val="decimal"/>
      <w:start w:val="1"/>
    </w:lvl>
  </w:abstractNum>
  <w:abstractNum w:abstractNumId="91">
    <w:nsid w:val="5B25ACE2"/>
    <w:multiLevelType w:val="hybridMultilevel"/>
    <w:lvl w:ilvl="0">
      <w:lvlJc w:val="left"/>
      <w:lvlText w:val="(%1)"/>
      <w:numFmt w:val="lowerLetter"/>
      <w:start w:val="4"/>
    </w:lvl>
  </w:abstractNum>
  <w:abstractNum w:abstractNumId="92">
    <w:nsid w:val="175DFCF0"/>
    <w:multiLevelType w:val="hybridMultilevel"/>
    <w:lvl w:ilvl="0">
      <w:lvlJc w:val="left"/>
      <w:lvlText w:val="(%1)"/>
      <w:numFmt w:val="lowerLetter"/>
      <w:start w:val="1"/>
    </w:lvl>
  </w:abstractNum>
  <w:abstractNum w:abstractNumId="93">
    <w:nsid w:val="4F97E3E4"/>
    <w:multiLevelType w:val="hybridMultilevel"/>
    <w:lvl w:ilvl="0">
      <w:lvlJc w:val="left"/>
      <w:lvlText w:val="(%1)"/>
      <w:numFmt w:val="lowerLetter"/>
      <w:start w:val="1"/>
    </w:lvl>
  </w:abstractNum>
  <w:abstractNum w:abstractNumId="94">
    <w:nsid w:val="53B0A9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5">
    <w:nsid w:val="34FD6B4F"/>
    <w:multiLevelType w:val="hybridMultilevel"/>
    <w:lvl w:ilvl="0">
      <w:lvlJc w:val="left"/>
      <w:lvlText w:val="%1"/>
      <w:numFmt w:val="lowerRoman"/>
      <w:start w:val="1"/>
    </w:lvl>
    <w:lvl w:ilvl="1">
      <w:lvlJc w:val="left"/>
      <w:lvlText w:val="(%2)"/>
      <w:numFmt w:val="upperLetter"/>
      <w:start w:val="2"/>
    </w:lvl>
  </w:abstractNum>
  <w:abstractNum w:abstractNumId="96">
    <w:nsid w:val="5915FF32"/>
    <w:multiLevelType w:val="hybridMultilevel"/>
    <w:lvl w:ilvl="0">
      <w:lvlJc w:val="left"/>
      <w:lvlText w:val="(%1)"/>
      <w:numFmt w:val="lowerRoman"/>
      <w:start w:val="2"/>
    </w:lvl>
    <w:lvl w:ilvl="1">
      <w:lvlJc w:val="left"/>
      <w:lvlText w:val="%2"/>
      <w:numFmt w:val="upperLetter"/>
      <w:start w:val="1"/>
    </w:lvl>
  </w:abstractNum>
  <w:abstractNum w:abstractNumId="97">
    <w:nsid w:val="56438D15"/>
    <w:multiLevelType w:val="hybridMultilevel"/>
    <w:lvl w:ilvl="0">
      <w:lvlJc w:val="left"/>
      <w:lvlText w:val="(%1)"/>
      <w:numFmt w:val="lowerLetter"/>
      <w:start w:val="1"/>
    </w:lvl>
  </w:abstractNum>
  <w:abstractNum w:abstractNumId="98">
    <w:nsid w:val="519E3149"/>
    <w:multiLevelType w:val="hybridMultilevel"/>
    <w:lvl w:ilvl="0">
      <w:lvlJc w:val="left"/>
      <w:lvlText w:val="(%1)"/>
      <w:numFmt w:val="lowerLetter"/>
      <w:start w:val="6"/>
    </w:lvl>
  </w:abstractNum>
  <w:abstractNum w:abstractNumId="99">
    <w:nsid w:val="2C6E4AFD"/>
    <w:multiLevelType w:val="hybridMultilevel"/>
    <w:lvl w:ilvl="0">
      <w:lvlJc w:val="left"/>
      <w:lvlText w:val="(%1)"/>
      <w:numFmt w:val="lowerLetter"/>
      <w:start w:val="1"/>
    </w:lvl>
  </w:abstractNum>
  <w:abstractNum w:abstractNumId="100">
    <w:nsid w:val="17A1B582"/>
    <w:multiLevelType w:val="hybridMultilevel"/>
    <w:lvl w:ilvl="0">
      <w:lvlJc w:val="left"/>
      <w:lvlText w:val="(%1)"/>
      <w:numFmt w:val="lowerLetter"/>
      <w:start w:val="1"/>
    </w:lvl>
  </w:abstractNum>
  <w:abstractNum w:abstractNumId="101">
    <w:nsid w:val="4DF72E4E"/>
    <w:multiLevelType w:val="hybridMultilevel"/>
    <w:lvl w:ilvl="0">
      <w:lvlJc w:val="left"/>
      <w:lvlText w:val="(%1)"/>
      <w:numFmt w:val="lowerLetter"/>
      <w:start w:val="1"/>
    </w:lvl>
    <w:lvl w:ilvl="1">
      <w:lvlJc w:val="left"/>
      <w:lvlText w:val="(%2)"/>
      <w:numFmt w:val="lowerRoman"/>
      <w:start w:val="1"/>
    </w:lvl>
  </w:abstractNum>
  <w:abstractNum w:abstractNumId="102">
    <w:nsid w:val="5046B5A9"/>
    <w:multiLevelType w:val="hybridMultilevel"/>
    <w:lvl w:ilvl="0">
      <w:lvlJc w:val="left"/>
      <w:lvlText w:val="(%1)"/>
      <w:numFmt w:val="lowerLetter"/>
      <w:start w:val="3"/>
    </w:lvl>
  </w:abstractNum>
  <w:abstractNum w:abstractNumId="103">
    <w:nsid w:val="5D888A08"/>
    <w:multiLevelType w:val="hybridMultilevel"/>
    <w:lvl w:ilvl="0">
      <w:lvlJc w:val="left"/>
      <w:lvlText w:val="(%1)"/>
      <w:numFmt w:val="lowerLetter"/>
      <w:start w:val="1"/>
    </w:lvl>
  </w:abstractNum>
  <w:abstractNum w:abstractNumId="104">
    <w:nsid w:val="2A082C70"/>
    <w:multiLevelType w:val="hybridMultilevel"/>
    <w:lvl w:ilvl="0">
      <w:lvlJc w:val="left"/>
      <w:lvlText w:val="(%1)"/>
      <w:numFmt w:val="lowerLetter"/>
      <w:start w:val="3"/>
    </w:lvl>
  </w:abstractNum>
  <w:abstractNum w:abstractNumId="105">
    <w:nsid w:val="5EC6AFD4"/>
    <w:multiLevelType w:val="hybridMultilevel"/>
    <w:lvl w:ilvl="0">
      <w:lvlJc w:val="left"/>
      <w:lvlText w:val="(%1)"/>
      <w:numFmt w:val="lowerLetter"/>
      <w:start w:val="1"/>
    </w:lvl>
  </w:abstractNum>
  <w:abstractNum w:abstractNumId="106">
    <w:nsid w:val="19E21BB2"/>
    <w:multiLevelType w:val="hybridMultilevel"/>
    <w:lvl w:ilvl="0">
      <w:lvlJc w:val="left"/>
      <w:lvlText w:val="(%1)"/>
      <w:numFmt w:val="lowerLetter"/>
      <w:start w:val="1"/>
    </w:lvl>
  </w:abstractNum>
  <w:abstractNum w:abstractNumId="107">
    <w:nsid w:val="75E0858A"/>
    <w:multiLevelType w:val="hybridMultilevel"/>
    <w:lvl w:ilvl="0">
      <w:lvlJc w:val="left"/>
      <w:lvlText w:val="(%1)"/>
      <w:numFmt w:val="lowerLetter"/>
      <w:start w:val="3"/>
    </w:lvl>
  </w:abstractNum>
  <w:abstractNum w:abstractNumId="108">
    <w:nsid w:val="57A61A29"/>
    <w:multiLevelType w:val="hybridMultilevel"/>
    <w:lvl w:ilvl="0">
      <w:lvlJc w:val="left"/>
      <w:lvlText w:val="(%1)"/>
      <w:numFmt w:val="lowerLetter"/>
      <w:start w:val="1"/>
    </w:lvl>
  </w:abstractNum>
  <w:abstractNum w:abstractNumId="109">
    <w:nsid w:val="5399C654"/>
    <w:multiLevelType w:val="hybridMultilevel"/>
    <w:lvl w:ilvl="0">
      <w:lvlJc w:val="left"/>
      <w:lvlText w:val="(%1)"/>
      <w:numFmt w:val="lowerLetter"/>
      <w:start w:val="1"/>
    </w:lvl>
  </w:abstractNum>
  <w:abstractNum w:abstractNumId="110">
    <w:nsid w:val="20EE1348"/>
    <w:multiLevelType w:val="hybridMultilevel"/>
    <w:lvl w:ilvl="0">
      <w:lvlJc w:val="left"/>
      <w:lvlText w:val="(%1)"/>
      <w:numFmt w:val="decimal"/>
      <w:start w:val="1"/>
    </w:lvl>
  </w:abstractNum>
  <w:abstractNum w:abstractNumId="111">
    <w:nsid w:val="4427069A"/>
    <w:multiLevelType w:val="hybridMultilevel"/>
    <w:lvl w:ilvl="0">
      <w:lvlJc w:val="left"/>
      <w:lvlText w:val="(%1)"/>
      <w:numFmt w:val="lowerLetter"/>
      <w:start w:val="1"/>
    </w:lvl>
  </w:abstractNum>
  <w:abstractNum w:abstractNumId="112">
    <w:nsid w:val="B37E80A"/>
    <w:multiLevelType w:val="hybridMultilevel"/>
    <w:lvl w:ilvl="0">
      <w:lvlJc w:val="left"/>
      <w:lvlText w:val="(%1)"/>
      <w:numFmt w:val="lowerLetter"/>
      <w:start w:val="5"/>
    </w:lvl>
  </w:abstractNum>
  <w:abstractNum w:abstractNumId="113">
    <w:nsid w:val="2157F6BC"/>
    <w:multiLevelType w:val="hybridMultilevel"/>
    <w:lvl w:ilvl="0">
      <w:lvlJc w:val="left"/>
      <w:lvlText w:val="1"/>
      <w:numFmt w:val="bullet"/>
      <w:start w:val="1"/>
    </w:lvl>
    <w:lvl w:ilvl="1">
      <w:lvlJc w:val="left"/>
      <w:lvlText w:val="(%2)"/>
      <w:numFmt w:val="lowerLetter"/>
      <w:start w:val="1"/>
    </w:lvl>
  </w:abstractNum>
  <w:abstractNum w:abstractNumId="114">
    <w:nsid w:val="704E1DD5"/>
    <w:multiLevelType w:val="hybridMultilevel"/>
    <w:lvl w:ilvl="0">
      <w:lvlJc w:val="left"/>
      <w:lvlText w:val="(%1)"/>
      <w:numFmt w:val="lowerLetter"/>
      <w:start w:val="3"/>
    </w:lvl>
  </w:abstractNum>
  <w:abstractNum w:abstractNumId="115">
    <w:nsid w:val="57D2F10E"/>
    <w:multiLevelType w:val="hybridMultilevel"/>
    <w:lvl w:ilvl="0">
      <w:lvlJc w:val="left"/>
      <w:lvlText w:val="2"/>
      <w:numFmt w:val="bullet"/>
      <w:start w:val="1"/>
    </w:lvl>
  </w:abstractNum>
  <w:abstractNum w:abstractNumId="116">
    <w:nsid w:val="BFFAE18"/>
    <w:multiLevelType w:val="hybridMultilevel"/>
    <w:lvl w:ilvl="0">
      <w:lvlJc w:val="left"/>
      <w:lvlText w:val="3"/>
      <w:numFmt w:val="bullet"/>
      <w:start w:val="1"/>
    </w:lvl>
  </w:abstractNum>
  <w:abstractNum w:abstractNumId="117">
    <w:nsid w:val="E3E47A8"/>
    <w:multiLevelType w:val="hybridMultilevel"/>
    <w:lvl w:ilvl="0">
      <w:lvlJc w:val="left"/>
      <w:lvlText w:val="(%1)"/>
      <w:numFmt w:val="lowerLetter"/>
      <w:start w:val="1"/>
    </w:lvl>
  </w:abstractNum>
  <w:abstractNum w:abstractNumId="118">
    <w:nsid w:val="2E48F044"/>
    <w:multiLevelType w:val="hybridMultilevel"/>
    <w:lvl w:ilvl="0">
      <w:lvlJc w:val="left"/>
      <w:lvlText w:val="(%1)"/>
      <w:numFmt w:val="lowerLetter"/>
      <w:start w:val="2"/>
    </w:lvl>
    <w:lvl w:ilvl="1">
      <w:lvlJc w:val="left"/>
      <w:lvlText w:val="(%2)"/>
      <w:numFmt w:val="lowerRoman"/>
      <w:start w:val="1"/>
    </w:lvl>
  </w:abstractNum>
  <w:abstractNum w:abstractNumId="119">
    <w:nsid w:val="49D0FEAC"/>
    <w:multiLevelType w:val="hybridMultilevel"/>
    <w:lvl w:ilvl="0">
      <w:lvlJc w:val="left"/>
      <w:lvlText w:val="(%1)"/>
      <w:numFmt w:val="lowerRoman"/>
      <w:start w:val="2"/>
    </w:lvl>
  </w:abstractNum>
  <w:abstractNum w:abstractNumId="120">
    <w:nsid w:val="4BEE5A5B"/>
    <w:multiLevelType w:val="hybridMultilevel"/>
    <w:lvl w:ilvl="0">
      <w:lvlJc w:val="left"/>
      <w:lvlText w:val="(%1)"/>
      <w:numFmt w:val="lowerLetter"/>
      <w:start w:val="3"/>
    </w:lvl>
    <w:lvl w:ilvl="1">
      <w:lvlJc w:val="left"/>
      <w:lvlText w:val="(%2)"/>
      <w:numFmt w:val="lowerRoman"/>
      <w:start w:val="1"/>
    </w:lvl>
  </w:abstractNum>
  <w:abstractNum w:abstractNumId="121">
    <w:nsid w:val="5551B9F3"/>
    <w:multiLevelType w:val="hybridMultilevel"/>
    <w:lvl w:ilvl="0">
      <w:lvlJc w:val="left"/>
      <w:lvlText w:val="(%1)"/>
      <w:numFmt w:val="lowerLetter"/>
      <w:start w:val="4"/>
    </w:lvl>
  </w:abstractNum>
  <w:abstractNum w:abstractNumId="122">
    <w:nsid w:val="24F6AB8E"/>
    <w:multiLevelType w:val="hybridMultilevel"/>
    <w:lvl w:ilvl="0">
      <w:lvlJc w:val="left"/>
      <w:lvlText w:val="(%1)"/>
      <w:numFmt w:val="lowerLetter"/>
      <w:start w:val="5"/>
    </w:lvl>
    <w:lvl w:ilvl="1">
      <w:lvlJc w:val="left"/>
      <w:lvlText w:val="(%2)"/>
      <w:numFmt w:val="lowerRoman"/>
      <w:start w:val="1"/>
    </w:lvl>
  </w:abstractNum>
  <w:abstractNum w:abstractNumId="123">
    <w:nsid w:val="634C574C"/>
    <w:multiLevelType w:val="hybridMultilevel"/>
    <w:lvl w:ilvl="0">
      <w:lvlJc w:val="left"/>
      <w:lvlText w:val="(%1)"/>
      <w:numFmt w:val="lowerLetter"/>
      <w:start w:val="6"/>
    </w:lvl>
    <w:lvl w:ilvl="1">
      <w:lvlJc w:val="left"/>
      <w:lvlText w:val="(%2)"/>
      <w:numFmt w:val="lowerRoman"/>
      <w:start w:val="1"/>
    </w:lvl>
  </w:abstractNum>
  <w:abstractNum w:abstractNumId="124">
    <w:nsid w:val="24E99DD7"/>
    <w:multiLevelType w:val="hybridMultilevel"/>
    <w:lvl w:ilvl="0">
      <w:lvlJc w:val="left"/>
      <w:lvlText w:val="(%1)"/>
      <w:numFmt w:val="lowerLetter"/>
      <w:start w:val="7"/>
    </w:lvl>
    <w:lvl w:ilvl="1">
      <w:lvlJc w:val="left"/>
      <w:lvlText w:val="(%2)"/>
      <w:numFmt w:val="lowerRoman"/>
      <w:start w:val="1"/>
    </w:lvl>
  </w:abstractNum>
  <w:abstractNum w:abstractNumId="125">
    <w:nsid w:val="2A31B62D"/>
    <w:multiLevelType w:val="hybridMultilevel"/>
    <w:lvl w:ilvl="0">
      <w:lvlJc w:val="left"/>
      <w:lvlText w:val="(%1)"/>
      <w:numFmt w:val="lowerLetter"/>
      <w:start w:val="8"/>
    </w:lvl>
    <w:lvl w:ilvl="1">
      <w:lvlJc w:val="left"/>
      <w:lvlText w:val="(%2)"/>
      <w:numFmt w:val="lowerRoman"/>
      <w:start w:val="1"/>
    </w:lvl>
  </w:abstractNum>
  <w:abstractNum w:abstractNumId="126">
    <w:nsid w:val="1849C29B"/>
    <w:multiLevelType w:val="hybridMultilevel"/>
    <w:lvl w:ilvl="0">
      <w:lvlJc w:val="left"/>
      <w:lvlText w:val="4"/>
      <w:numFmt w:val="bullet"/>
      <w:start w:val="1"/>
    </w:lvl>
  </w:abstractNum>
  <w:abstractNum w:abstractNumId="127">
    <w:nsid w:val="7DFF9D09"/>
    <w:multiLevelType w:val="hybridMultilevel"/>
    <w:lvl w:ilvl="0">
      <w:lvlJc w:val="left"/>
      <w:lvlText w:val="(%1)"/>
      <w:numFmt w:val="lowerLetter"/>
      <w:start w:val="1"/>
    </w:lvl>
  </w:abstractNum>
  <w:abstractNum w:abstractNumId="128">
    <w:nsid w:val="754342"/>
    <w:multiLevelType w:val="hybridMultilevel"/>
    <w:lvl w:ilvl="0">
      <w:lvlJc w:val="left"/>
      <w:lvlText w:val="5"/>
      <w:numFmt w:val="bullet"/>
      <w:start w:val="1"/>
    </w:lvl>
  </w:abstractNum>
  <w:abstractNum w:abstractNumId="129">
    <w:nsid w:val="69E7F3E5"/>
    <w:multiLevelType w:val="hybridMultilevel"/>
    <w:lvl w:ilvl="0">
      <w:lvlJc w:val="left"/>
      <w:lvlText w:val="(%1)"/>
      <w:numFmt w:val="lowerLetter"/>
      <w:start w:val="1"/>
    </w:lvl>
  </w:abstractNum>
  <w:abstractNum w:abstractNumId="130">
    <w:nsid w:val="2A6DE806"/>
    <w:multiLevelType w:val="hybridMultilevel"/>
    <w:lvl w:ilvl="0">
      <w:lvlJc w:val="left"/>
      <w:lvlText w:val="6"/>
      <w:numFmt w:val="bullet"/>
      <w:start w:val="1"/>
    </w:lvl>
  </w:abstractNum>
  <w:abstractNum w:abstractNumId="131">
    <w:nsid w:val="1816F8C4"/>
    <w:multiLevelType w:val="hybridMultilevel"/>
    <w:lvl w:ilvl="0">
      <w:lvlJc w:val="left"/>
      <w:lvlText w:val="1"/>
      <w:numFmt w:val="bullet"/>
      <w:start w:val="1"/>
    </w:lvl>
  </w:abstractNum>
  <w:abstractNum w:abstractNumId="132">
    <w:nsid w:val="37DF2233"/>
    <w:multiLevelType w:val="hybridMultilevel"/>
    <w:lvl w:ilvl="0">
      <w:lvlJc w:val="left"/>
      <w:lvlText w:val="2"/>
      <w:numFmt w:val="bullet"/>
      <w:start w:val="1"/>
    </w:lvl>
  </w:abstractNum>
  <w:abstractNum w:abstractNumId="133">
    <w:nsid w:val="7AB49DAF"/>
    <w:multiLevelType w:val="hybridMultilevel"/>
    <w:lvl w:ilvl="0">
      <w:lvlJc w:val="left"/>
      <w:lvlText w:val="3"/>
      <w:numFmt w:val="bullet"/>
      <w:start w:val="1"/>
    </w:lvl>
  </w:abstractNum>
  <w:abstractNum w:abstractNumId="134">
    <w:nsid w:val="759F82CD"/>
    <w:multiLevelType w:val="hybridMultilevel"/>
    <w:lvl w:ilvl="0">
      <w:lvlJc w:val="left"/>
      <w:lvlText w:val="4"/>
      <w:numFmt w:val="bullet"/>
      <w:start w:val="1"/>
    </w:lvl>
  </w:abstractNum>
  <w:abstractNum w:abstractNumId="135">
    <w:nsid w:val="61E74EA3"/>
    <w:multiLevelType w:val="hybridMultilevel"/>
    <w:lvl w:ilvl="0">
      <w:lvlJc w:val="left"/>
      <w:lvlText w:val="5"/>
      <w:numFmt w:val="bullet"/>
      <w:start w:val="1"/>
    </w:lvl>
  </w:abstractNum>
  <w:abstractNum w:abstractNumId="136">
    <w:nsid w:val="597B4D84"/>
    <w:multiLevelType w:val="hybridMultilevel"/>
    <w:lvl w:ilvl="0">
      <w:lvlJc w:val="left"/>
      <w:lvlText w:val="6"/>
      <w:numFmt w:val="bullet"/>
      <w:start w:val="1"/>
    </w:lvl>
  </w:abstractNum>
  <w:abstractNum w:abstractNumId="137">
    <w:nsid w:val="F819E7F"/>
    <w:multiLevelType w:val="hybridMultilevel"/>
    <w:lvl w:ilvl="0">
      <w:lvlJc w:val="left"/>
      <w:lvlText w:val="7"/>
      <w:numFmt w:val="bullet"/>
      <w:start w:val="1"/>
    </w:lvl>
  </w:abstractNum>
  <w:abstractNum w:abstractNumId="138">
    <w:nsid w:val="57C7D42D"/>
    <w:multiLevelType w:val="hybridMultilevel"/>
    <w:lvl w:ilvl="0">
      <w:lvlJc w:val="left"/>
      <w:lvlText w:val="8"/>
      <w:numFmt w:val="bullet"/>
      <w:start w:val="1"/>
    </w:lvl>
  </w:abstractNum>
  <w:abstractNum w:abstractNumId="139">
    <w:nsid w:val="312167AD"/>
    <w:multiLevelType w:val="hybridMultilevel"/>
    <w:lvl w:ilvl="0">
      <w:lvlJc w:val="left"/>
      <w:lvlText w:val="9"/>
      <w:numFmt w:val="bullet"/>
      <w:start w:val="1"/>
    </w:lvl>
  </w:abstractNum>
  <w:abstractNum w:abstractNumId="140">
    <w:nsid w:val="631B64D4"/>
    <w:multiLevelType w:val="hybridMultilevel"/>
    <w:lvl w:ilvl="0">
      <w:lvlJc w:val="left"/>
      <w:lvlText w:val="%1"/>
      <w:numFmt w:val="decimal"/>
      <w:start w:val="10"/>
    </w:lvl>
  </w:abstractNum>
  <w:abstractNum w:abstractNumId="141">
    <w:nsid w:val="78B5E776"/>
    <w:multiLevelType w:val="hybridMultilevel"/>
    <w:lvl w:ilvl="0">
      <w:lvlJc w:val="left"/>
      <w:lvlText w:val="%1"/>
      <w:numFmt w:val="decimal"/>
      <w:start w:val="11"/>
    </w:lvl>
    <w:lvl w:ilvl="1">
      <w:lvlJc w:val="left"/>
      <w:lvlText w:val="(%2)"/>
      <w:numFmt w:val="lowerLetter"/>
      <w:start w:val="1"/>
    </w:lvl>
  </w:abstractNum>
  <w:abstractNum w:abstractNumId="142">
    <w:nsid w:val="75486E47"/>
    <w:multiLevelType w:val="hybridMultilevel"/>
    <w:lvl w:ilvl="0">
      <w:lvlJc w:val="left"/>
      <w:lvlText w:val="1"/>
      <w:numFmt w:val="bullet"/>
      <w:start w:val="1"/>
    </w:lvl>
  </w:abstractNum>
  <w:abstractNum w:abstractNumId="143">
    <w:nsid w:val="6E534CDE"/>
    <w:multiLevelType w:val="hybridMultilevel"/>
    <w:lvl w:ilvl="0">
      <w:lvlJc w:val="left"/>
      <w:lvlText w:val="2"/>
      <w:numFmt w:val="bullet"/>
      <w:start w:val="1"/>
    </w:lvl>
  </w:abstractNum>
  <w:abstractNum w:abstractNumId="144">
    <w:nsid w:val="1A0DDE32"/>
    <w:multiLevelType w:val="hybridMultilevel"/>
    <w:lvl w:ilvl="0">
      <w:lvlJc w:val="left"/>
      <w:lvlText w:val="3"/>
      <w:numFmt w:val="bullet"/>
      <w:start w:val="1"/>
    </w:lvl>
  </w:abstractNum>
  <w:abstractNum w:abstractNumId="145">
    <w:nsid w:val="65968C1C"/>
    <w:multiLevelType w:val="hybridMultilevel"/>
    <w:lvl w:ilvl="0">
      <w:lvlJc w:val="left"/>
      <w:lvlText w:val="4"/>
      <w:numFmt w:val="bullet"/>
      <w:start w:val="1"/>
    </w:lvl>
  </w:abstractNum>
  <w:abstractNum w:abstractNumId="146">
    <w:nsid w:val="46263DEC"/>
    <w:multiLevelType w:val="hybridMultilevel"/>
    <w:lvl w:ilvl="0">
      <w:lvlJc w:val="left"/>
      <w:lvlText w:val="5"/>
      <w:numFmt w:val="bullet"/>
      <w:start w:val="1"/>
    </w:lvl>
  </w:abstractNum>
  <w:abstractNum w:abstractNumId="147">
    <w:nsid w:val="260D8C4A"/>
    <w:multiLevelType w:val="hybridMultilevel"/>
    <w:lvl w:ilvl="0">
      <w:lvlJc w:val="left"/>
      <w:lvlText w:val="6"/>
      <w:numFmt w:val="bullet"/>
      <w:start w:val="1"/>
    </w:lvl>
    <w:lvl w:ilvl="1">
      <w:lvlJc w:val="left"/>
      <w:lvlText w:val="(%2)"/>
      <w:numFmt w:val="lowerLetter"/>
      <w:start w:val="1"/>
    </w:lvl>
  </w:abstractNum>
  <w:abstractNum w:abstractNumId="148">
    <w:nsid w:val="73D4D3C4"/>
    <w:multiLevelType w:val="hybridMultilevel"/>
    <w:lvl w:ilvl="0">
      <w:lvlJc w:val="left"/>
      <w:lvlText w:val="(%1)"/>
      <w:numFmt w:val="lowerLetter"/>
      <w:start w:val="5"/>
    </w:lvl>
  </w:abstractNum>
  <w:abstractNum w:abstractNumId="149">
    <w:nsid w:val="746F2E30"/>
    <w:multiLevelType w:val="hybridMultilevel"/>
    <w:lvl w:ilvl="0">
      <w:lvlJc w:val="left"/>
      <w:lvlText w:val="7"/>
      <w:numFmt w:val="bullet"/>
      <w:start w:val="1"/>
    </w:lvl>
  </w:abstractNum>
  <w:abstractNum w:abstractNumId="150">
    <w:nsid w:val="6FDE8AF6"/>
    <w:multiLevelType w:val="hybridMultilevel"/>
    <w:lvl w:ilvl="0">
      <w:lvlJc w:val="left"/>
      <w:lvlText w:val="8"/>
      <w:numFmt w:val="bullet"/>
      <w:start w:val="1"/>
    </w:lvl>
  </w:abstractNum>
  <w:abstractNum w:abstractNumId="151">
    <w:nsid w:val="3FC32E20"/>
    <w:multiLevelType w:val="hybridMultilevel"/>
    <w:lvl w:ilvl="0">
      <w:lvlJc w:val="left"/>
      <w:lvlText w:val="(%1)"/>
      <w:numFmt w:val="decimal"/>
      <w:start w:val="1"/>
    </w:lvl>
  </w:abstractNum>
  <w:abstractNum w:abstractNumId="152">
    <w:nsid w:val="49C0E823"/>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jpe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jpeg"/><Relationship Id="rId206" Type="http://schemas.openxmlformats.org/officeDocument/2006/relationships/image" Target="media/image196.png"/><Relationship Id="rId207" Type="http://schemas.openxmlformats.org/officeDocument/2006/relationships/image" Target="media/image197.png"/><Relationship Id="rId53" Type="http://schemas.openxmlformats.org/officeDocument/2006/relationships/hyperlink" Target="https://www.sec.gov/ix?doc=/Archives/edgar/data/2001699/000121390025111531/ea0265214-20f_helport.htm" TargetMode="External"/><Relationship Id="rId54" Type="http://schemas.openxmlformats.org/officeDocument/2006/relationships/hyperlink" Target="https://www.sec.gov/Archives/edgar/data/2001699/000121390024064708/ea0210531-8a12b_helport.htm" TargetMode="External"/><Relationship Id="rId60" Type="http://schemas.openxmlformats.org/officeDocument/2006/relationships/hyperlink" Target="https://www.sec.gov/Archives/edgar/data/2001699/000121390025101665/ea026217701ex10-1_helpor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2026-03-26T08:32:32Z</dcterms:created>
  <dcterms:modified xsi:type="dcterms:W3CDTF">2026-03-26T08:32:32Z</dcterms:modified>
</cp:coreProperties>
</file>