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9 Temasek Boulevard #07-00, Suntec Tower Two,</w:t>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Singapore 038989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41"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Alexandra Barone</w:t>
      </w:r>
    </w:p>
    <w:p>
      <w:pPr>
        <w:spacing w:after="0" w:line="200" w:lineRule="exact"/>
        <w:rPr>
          <w:sz w:val="24"/>
          <w:szCs w:val="24"/>
          <w:color w:val="auto"/>
        </w:rPr>
      </w:pPr>
    </w:p>
    <w:p>
      <w:pPr>
        <w:sectPr>
          <w:pgSz w:w="11900" w:h="16838" w:orient="portrait"/>
          <w:cols w:equalWidth="0" w:num="2">
            <w:col w:w="740" w:space="560"/>
            <w:col w:w="9940"/>
          </w:cols>
          <w:pgMar w:left="320" w:top="441" w:right="339" w:bottom="1440" w:gutter="0" w:footer="0" w:header="0"/>
          <w:type w:val="continuous"/>
        </w:sectPr>
      </w:pPr>
    </w:p>
    <w:p>
      <w:pPr>
        <w:spacing w:after="0" w:line="25"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auto"/>
        </w:rPr>
        <w:t>March 26, 2026</w:t>
      </w:r>
    </w:p>
    <w:p>
      <w:pPr>
        <w:sectPr>
          <w:pgSz w:w="11900" w:h="16838" w:orient="portrait"/>
          <w:cols w:equalWidth="0" w:num="1">
            <w:col w:w="11240"/>
          </w:cols>
          <w:pgMar w:left="320" w:top="441" w:right="339" w:bottom="1440" w:gutter="0" w:footer="0" w:header="0"/>
          <w:type w:val="continuous"/>
        </w:sect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F-3 (File No. 333-294622)</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on March 26, 2026</w:t>
      </w:r>
    </w:p>
    <w:p>
      <w:pPr>
        <w:spacing w:after="0" w:line="200" w:lineRule="exact"/>
        <w:rPr>
          <w:sz w:val="24"/>
          <w:szCs w:val="24"/>
          <w:color w:val="auto"/>
        </w:rPr>
      </w:pPr>
    </w:p>
    <w:p>
      <w:pPr>
        <w:sectPr>
          <w:pgSz w:w="11900" w:h="16838" w:orient="portrait"/>
          <w:cols w:equalWidth="0" w:num="2">
            <w:col w:w="280" w:space="380"/>
            <w:col w:w="10580"/>
          </w:cols>
          <w:pgMar w:left="320" w:top="441"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Helport AI Limited hereby requests acceleration of effectiveness of the above referenced Registration Statement, so that it will become effective at 4:00 p.m., Eastern Time, on March 30, 2026, or as soon as thereafter practicable.</w:t>
      </w:r>
    </w:p>
    <w:p>
      <w:pPr>
        <w:spacing w:after="0" w:line="16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 Guanghai 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Guanghai Li</w:t>
      </w:r>
    </w:p>
    <w:p>
      <w:pPr>
        <w:spacing w:after="0" w:line="27"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Director, and</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7"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Ying Li, Esq.</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Hunter Taubman Fischer &amp; Li LLC</w:t>
      </w:r>
    </w:p>
    <w:sectPr>
      <w:pgSz w:w="11900" w:h="16838" w:orient="portrait"/>
      <w:cols w:equalWidth="0" w:num="1">
        <w:col w:w="11240"/>
      </w:cols>
      <w:pgMar w:left="320" w:top="4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2026-05-11T23:39:28Z</dcterms:created>
  <dcterms:modified xsi:type="dcterms:W3CDTF">2026-05-11T23:39:28Z</dcterms:modified>
</cp:coreProperties>
</file>