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10457-nt20f_helport.htm"/>
      <w:bookmarkStart w:id="1" w:name="ksea0310457nt20f_helport"/>
      <w:bookmarkEnd w:id="0"/>
      <w:bookmarkEnd w:id="1"/>
      <w:r>
        <w:rPr>
          <w:bdr w:val="single" w:sz="16" w:space="1" w:color="000000"/>
        </w:rPr>
        <w:t> </w:t>
      </w:r>
    </w:p>
    <w:p>
      <w:pPr>
        <w:pStyle w:val="TextBody"/>
        <w:bidi w:val="0"/>
        <w:spacing w:before="0" w:after="0"/>
        <w:jc w:val="center"/>
      </w:pPr>
      <w: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12b-25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(Check One)</w:t>
      </w:r>
      <w:r>
        <w:rPr>
          <w:rFonts w:ascii="Times New Roman;Times;Serif" w:hAnsi="Times New Roman;Times;Serif"/>
          <w:b w:val="false"/>
          <w:i w:val="false"/>
          <w:caps w:val="false"/>
          <w:smallCaps w:val="false"/>
          <w:sz w:val="20"/>
        </w:rPr>
        <w:t>: ☐ Form 10-K ☒ Form 20-F ☐ Form 11-K ☐ Form 10-Q ☐ Form 10-D ☐ Form N-CEN ☐ Form N-CSR</w:t>
      </w:r>
    </w:p>
    <w:p>
      <w:pPr>
        <w:pStyle w:val="TextBody"/>
        <w:bidi w:val="0"/>
        <w:spacing w:before="0" w:after="0"/>
        <w:ind w:left="0" w:right="0" w:firstLine="72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75"/>
        <w:gridCol w:w="311"/>
        <w:gridCol w:w="3578"/>
      </w:tblGrid>
      <w:tr>
        <w:tc>
          <w:tcPr>
            <w:tcW w:w="75" w:type="dxa"/>
            <w:tcBorders/>
            <w:vAlign w:val="center"/>
          </w:tcPr>
          <w:p>
            <w:pPr>
              <w:pStyle w:val="TableContents"/>
              <w:bidi w:val="0"/>
              <w:spacing w:before="0" w:after="283"/>
              <w:jc w:val="left"/>
            </w:pPr>
            <w:r>
              <w:t> </w:t>
            </w:r>
          </w:p>
        </w:tc>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For Period Ended: </w:t>
            </w:r>
            <w:r>
              <w:rPr>
                <w:rFonts w:ascii="Times New Roman;Times;Serif" w:hAnsi="Times New Roman;Times;Serif"/>
                <w:b/>
                <w:sz w:val="20"/>
              </w:rPr>
              <w:t>June 30, 2026</w:t>
            </w:r>
          </w:p>
        </w:tc>
      </w:tr>
      <w:tr>
        <w:tc>
          <w:tcPr>
            <w:tcW w:w="75" w:type="dxa"/>
            <w:tcBorders/>
            <w:vAlign w:val="center"/>
          </w:tcPr>
          <w:p>
            <w:pPr>
              <w:pStyle w:val="TableContents"/>
              <w:bidi w:val="0"/>
              <w:spacing w:before="0" w:after="283"/>
              <w:jc w:val="left"/>
            </w:pPr>
            <w:r>
              <w:t> </w:t>
            </w:r>
          </w:p>
        </w:tc>
        <w:tc>
          <w:tcPr>
            <w:tcW w:w="311" w:type="dxa"/>
            <w:tcBorders/>
            <w:vAlign w:val="center"/>
          </w:tcPr>
          <w:p>
            <w:pPr>
              <w:pStyle w:val="TableContents"/>
              <w:bidi w:val="0"/>
              <w:spacing w:before="0" w:after="283"/>
              <w:jc w:val="left"/>
            </w:pPr>
            <w:r>
              <w:t> </w:t>
            </w:r>
          </w:p>
        </w:tc>
        <w:tc>
          <w:tcPr>
            <w:tcW w:w="3578" w:type="dxa"/>
            <w:tcBorders/>
            <w:vAlign w:val="center"/>
          </w:tcPr>
          <w:p>
            <w:pPr>
              <w:pStyle w:val="TableContents"/>
              <w:bidi w:val="0"/>
              <w:spacing w:before="0" w:after="283"/>
              <w:jc w:val="left"/>
            </w:pPr>
            <w:r>
              <w:t> </w:t>
            </w:r>
          </w:p>
        </w:tc>
      </w:tr>
      <w:tr>
        <w:tc>
          <w:tcPr>
            <w:tcW w:w="75" w:type="dxa"/>
            <w:tcBorders/>
            <w:vAlign w:val="center"/>
          </w:tcPr>
          <w:p>
            <w:pPr>
              <w:pStyle w:val="TableContents"/>
              <w:bidi w:val="0"/>
              <w:spacing w:before="0" w:after="283"/>
              <w:jc w:val="left"/>
            </w:pPr>
            <w:r>
              <w:t> </w:t>
            </w:r>
          </w:p>
        </w:tc>
        <w:tc>
          <w:tcPr>
            <w:tcW w:w="311" w:type="dxa"/>
            <w:tcBorders/>
            <w:vAlign w:val="center"/>
          </w:tcPr>
          <w:p>
            <w:pPr>
              <w:pStyle w:val="TableContents"/>
              <w:bidi w:val="0"/>
              <w:spacing w:before="0" w:after="283"/>
              <w:jc w:val="left"/>
            </w:pPr>
            <w:r>
              <w:t>☐</w:t>
            </w:r>
          </w:p>
        </w:tc>
        <w:tc>
          <w:tcPr>
            <w:tcW w:w="35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Transition Report on Form 10-K</w:t>
            </w:r>
          </w:p>
        </w:tc>
      </w:tr>
      <w:tr>
        <w:tc>
          <w:tcPr>
            <w:tcW w:w="75" w:type="dxa"/>
            <w:tcBorders/>
            <w:vAlign w:val="center"/>
          </w:tcPr>
          <w:p>
            <w:pPr>
              <w:pStyle w:val="TableContents"/>
              <w:bidi w:val="0"/>
              <w:spacing w:before="0" w:after="283"/>
              <w:jc w:val="left"/>
            </w:pPr>
            <w:r>
              <w:t> </w:t>
            </w:r>
          </w:p>
        </w:tc>
        <w:tc>
          <w:tcPr>
            <w:tcW w:w="311" w:type="dxa"/>
            <w:tcBorders/>
            <w:vAlign w:val="center"/>
          </w:tcPr>
          <w:p>
            <w:pPr>
              <w:pStyle w:val="TableContents"/>
              <w:bidi w:val="0"/>
              <w:spacing w:before="0" w:after="283"/>
              <w:jc w:val="left"/>
            </w:pPr>
            <w:r>
              <w:t>☐</w:t>
            </w:r>
          </w:p>
        </w:tc>
        <w:tc>
          <w:tcPr>
            <w:tcW w:w="35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Transition Report on Form 20-F</w:t>
            </w:r>
          </w:p>
        </w:tc>
      </w:tr>
      <w:tr>
        <w:tc>
          <w:tcPr>
            <w:tcW w:w="75" w:type="dxa"/>
            <w:tcBorders/>
            <w:vAlign w:val="center"/>
          </w:tcPr>
          <w:p>
            <w:pPr>
              <w:pStyle w:val="TableContents"/>
              <w:bidi w:val="0"/>
              <w:spacing w:before="0" w:after="283"/>
              <w:jc w:val="left"/>
            </w:pPr>
            <w:r>
              <w:t> </w:t>
            </w:r>
          </w:p>
        </w:tc>
        <w:tc>
          <w:tcPr>
            <w:tcW w:w="311" w:type="dxa"/>
            <w:tcBorders/>
            <w:vAlign w:val="center"/>
          </w:tcPr>
          <w:p>
            <w:pPr>
              <w:pStyle w:val="TableContents"/>
              <w:bidi w:val="0"/>
              <w:spacing w:before="0" w:after="283"/>
              <w:jc w:val="left"/>
            </w:pPr>
            <w:r>
              <w:t>☐</w:t>
            </w:r>
          </w:p>
        </w:tc>
        <w:tc>
          <w:tcPr>
            <w:tcW w:w="35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Transition Report on Form 11-K</w:t>
            </w:r>
          </w:p>
        </w:tc>
      </w:tr>
      <w:tr>
        <w:tc>
          <w:tcPr>
            <w:tcW w:w="75" w:type="dxa"/>
            <w:tcBorders/>
            <w:vAlign w:val="center"/>
          </w:tcPr>
          <w:p>
            <w:pPr>
              <w:pStyle w:val="TableContents"/>
              <w:bidi w:val="0"/>
              <w:spacing w:before="0" w:after="283"/>
              <w:jc w:val="left"/>
            </w:pPr>
            <w:r>
              <w:t> </w:t>
            </w:r>
          </w:p>
        </w:tc>
        <w:tc>
          <w:tcPr>
            <w:tcW w:w="311" w:type="dxa"/>
            <w:tcBorders/>
            <w:vAlign w:val="center"/>
          </w:tcPr>
          <w:p>
            <w:pPr>
              <w:pStyle w:val="TableContents"/>
              <w:bidi w:val="0"/>
              <w:spacing w:before="0" w:after="283"/>
              <w:jc w:val="left"/>
            </w:pPr>
            <w:r>
              <w:t>☐</w:t>
            </w:r>
          </w:p>
        </w:tc>
        <w:tc>
          <w:tcPr>
            <w:tcW w:w="35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Transition Report on Form 10-Q</w:t>
            </w:r>
          </w:p>
        </w:tc>
      </w:tr>
      <w:tr>
        <w:tc>
          <w:tcPr>
            <w:tcW w:w="75" w:type="dxa"/>
            <w:tcBorders/>
            <w:vAlign w:val="center"/>
          </w:tcPr>
          <w:p>
            <w:pPr>
              <w:pStyle w:val="TableContents"/>
              <w:bidi w:val="0"/>
              <w:spacing w:before="0" w:after="283"/>
              <w:jc w:val="left"/>
            </w:pPr>
            <w:r>
              <w:t> </w:t>
            </w:r>
          </w:p>
        </w:tc>
        <w:tc>
          <w:tcPr>
            <w:tcW w:w="38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the Transition Period Ended: ___________</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Nothing in this form shall be construed to imply that the Commission has verified any information contained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spacing w:before="0" w:after="0"/>
        <w:ind w:left="0" w:right="0" w:firstLine="720"/>
        <w:jc w:val="left"/>
        <w:rPr>
          <w:caps w:val="false"/>
          <w:smallCaps w:val="false"/>
        </w:rPr>
      </w:pPr>
      <w:r>
        <w:rPr>
          <w:caps w:val="false"/>
          <w:smallCaps w:val="false"/>
        </w:rPr>
        <w:t> </w:t>
      </w:r>
    </w:p>
    <w:tbl>
      <w:tblPr>
        <w:tblW w:w="4760" w:type="dxa"/>
        <w:jc w:val="left"/>
        <w:tblInd w:w="0" w:type="dxa"/>
        <w:tblLayout w:type="fixed"/>
        <w:tblCellMar>
          <w:top w:w="0" w:type="dxa"/>
          <w:left w:w="0" w:type="dxa"/>
          <w:bottom w:w="28" w:type="dxa"/>
          <w:right w:w="0" w:type="dxa"/>
        </w:tblCellMar>
      </w:tblPr>
      <w:tblGrid>
        <w:gridCol w:w="4760"/>
      </w:tblGrid>
      <w:tr>
        <w:tc>
          <w:tcPr>
            <w:tcW w:w="476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Helport AI Limited</w:t>
            </w:r>
          </w:p>
        </w:tc>
      </w:tr>
      <w:tr>
        <w:tc>
          <w:tcPr>
            <w:tcW w:w="47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Full Name of Registrant</w:t>
            </w:r>
          </w:p>
        </w:tc>
      </w:tr>
      <w:tr>
        <w:tc>
          <w:tcPr>
            <w:tcW w:w="4760" w:type="dxa"/>
            <w:tcBorders/>
            <w:tcMar>
              <w:bottom w:w="0" w:type="dxa"/>
            </w:tcMar>
            <w:vAlign w:val="center"/>
          </w:tcPr>
          <w:p>
            <w:pPr>
              <w:pStyle w:val="TableContents"/>
              <w:bidi w:val="0"/>
              <w:spacing w:before="0" w:after="283"/>
              <w:jc w:val="center"/>
            </w:pPr>
            <w:r>
              <w:t> </w:t>
            </w:r>
          </w:p>
        </w:tc>
      </w:tr>
      <w:tr>
        <w:tc>
          <w:tcPr>
            <w:tcW w:w="4760" w:type="dxa"/>
            <w:tcBorders>
              <w:bottom w:val="single" w:sz="12" w:space="0" w:color="000000"/>
            </w:tcBorders>
            <w:vAlign w:val="center"/>
          </w:tcPr>
          <w:p>
            <w:pPr>
              <w:pStyle w:val="TableContents"/>
              <w:bidi w:val="0"/>
              <w:spacing w:before="0" w:after="283"/>
              <w:jc w:val="center"/>
            </w:pPr>
            <w:r>
              <w:t>  </w:t>
            </w:r>
          </w:p>
        </w:tc>
      </w:tr>
      <w:tr>
        <w:tc>
          <w:tcPr>
            <w:tcW w:w="47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Former Name if Applicable</w:t>
            </w:r>
          </w:p>
        </w:tc>
      </w:tr>
      <w:tr>
        <w:tc>
          <w:tcPr>
            <w:tcW w:w="4760" w:type="dxa"/>
            <w:tcBorders/>
            <w:tcMar>
              <w:bottom w:w="0" w:type="dxa"/>
            </w:tcMar>
            <w:vAlign w:val="center"/>
          </w:tcPr>
          <w:p>
            <w:pPr>
              <w:pStyle w:val="TableContents"/>
              <w:bidi w:val="0"/>
              <w:spacing w:before="0" w:after="283"/>
              <w:jc w:val="center"/>
            </w:pPr>
            <w:r>
              <w:t> </w:t>
            </w:r>
          </w:p>
        </w:tc>
      </w:tr>
      <w:tr>
        <w:tc>
          <w:tcPr>
            <w:tcW w:w="47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 Temasek Boulevard #07-00, Suntec Tower Two</w:t>
            </w:r>
          </w:p>
        </w:tc>
      </w:tr>
      <w:tr>
        <w:tc>
          <w:tcPr>
            <w:tcW w:w="47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 (Street and Number)</w:t>
            </w:r>
          </w:p>
        </w:tc>
      </w:tr>
      <w:tr>
        <w:tc>
          <w:tcPr>
            <w:tcW w:w="4760" w:type="dxa"/>
            <w:tcBorders/>
            <w:tcMar>
              <w:bottom w:w="0" w:type="dxa"/>
            </w:tcMar>
            <w:vAlign w:val="center"/>
          </w:tcPr>
          <w:p>
            <w:pPr>
              <w:pStyle w:val="TableContents"/>
              <w:bidi w:val="0"/>
              <w:spacing w:before="0" w:after="283"/>
              <w:jc w:val="center"/>
            </w:pPr>
            <w:r>
              <w:t> </w:t>
            </w:r>
          </w:p>
        </w:tc>
      </w:tr>
      <w:tr>
        <w:tc>
          <w:tcPr>
            <w:tcW w:w="47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Singapore 038989</w:t>
            </w:r>
          </w:p>
        </w:tc>
      </w:tr>
      <w:tr>
        <w:tc>
          <w:tcPr>
            <w:tcW w:w="47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City, State and 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28" w:type="dxa"/>
        </w:tblCellMar>
      </w:tblPr>
      <w:tblGrid>
        <w:gridCol w:w="245"/>
        <w:gridCol w:w="199"/>
        <w:gridCol w:w="9761"/>
      </w:tblGrid>
      <w:tr>
        <w:tc>
          <w:tcPr>
            <w:tcW w:w="245" w:type="dxa"/>
            <w:tcBorders>
              <w:right w:val="single" w:sz="12" w:space="0" w:color="000000"/>
            </w:tcBorders>
            <w:vAlign w:val="center"/>
          </w:tcPr>
          <w:p>
            <w:pPr>
              <w:pStyle w:val="TableContents"/>
              <w:bidi w:val="0"/>
              <w:spacing w:before="0" w:after="283"/>
              <w:jc w:val="left"/>
            </w:pPr>
            <w:r>
              <w:t> </w:t>
            </w:r>
          </w:p>
        </w:tc>
        <w:tc>
          <w:tcPr>
            <w:tcW w:w="199" w:type="dxa"/>
            <w:tcBorders/>
            <w:tcMar>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61" w:type="dxa"/>
            <w:tcBorders/>
            <w:tcMar>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reasons described in reasonable detail in Part III of this form could not be eliminated without unreasonable effort or expense;</w:t>
            </w:r>
          </w:p>
        </w:tc>
      </w:tr>
      <w:tr>
        <w:tc>
          <w:tcPr>
            <w:tcW w:w="245" w:type="dxa"/>
            <w:tcBorders>
              <w:right w:val="single" w:sz="12" w:space="0" w:color="000000"/>
            </w:tcBorders>
            <w:vAlign w:val="center"/>
          </w:tcPr>
          <w:p>
            <w:pPr>
              <w:pStyle w:val="TableContents"/>
              <w:bidi w:val="0"/>
              <w:spacing w:before="0" w:after="283"/>
              <w:jc w:val="left"/>
            </w:pPr>
            <w:r>
              <w:t> </w:t>
            </w:r>
          </w:p>
        </w:tc>
        <w:tc>
          <w:tcPr>
            <w:tcW w:w="199" w:type="dxa"/>
            <w:tcBorders/>
            <w:tcMar>
              <w:right w:w="0" w:type="dxa"/>
            </w:tcMar>
            <w:vAlign w:val="center"/>
          </w:tcPr>
          <w:p>
            <w:pPr>
              <w:pStyle w:val="TableContents"/>
              <w:bidi w:val="0"/>
              <w:spacing w:before="0" w:after="283"/>
              <w:jc w:val="left"/>
            </w:pPr>
            <w:r>
              <w:t> </w:t>
            </w:r>
          </w:p>
        </w:tc>
        <w:tc>
          <w:tcPr>
            <w:tcW w:w="9761" w:type="dxa"/>
            <w:tcBorders/>
            <w:tcMar>
              <w:right w:w="0" w:type="dxa"/>
            </w:tcMar>
            <w:vAlign w:val="center"/>
          </w:tcPr>
          <w:p>
            <w:pPr>
              <w:pStyle w:val="TableContents"/>
              <w:bidi w:val="0"/>
              <w:spacing w:before="0" w:after="283"/>
              <w:jc w:val="left"/>
            </w:pPr>
            <w:r>
              <w:t> </w:t>
            </w:r>
          </w:p>
        </w:tc>
      </w:tr>
      <w:tr>
        <w:tc>
          <w:tcPr>
            <w:tcW w:w="245" w:type="dxa"/>
            <w:tcBorders>
              <w:right w:val="single" w:sz="12" w:space="0" w:color="000000"/>
            </w:tcBorders>
            <w:vAlign w:val="center"/>
          </w:tcPr>
          <w:p>
            <w:pPr>
              <w:pStyle w:val="TableContents"/>
              <w:bidi w:val="0"/>
              <w:spacing w:before="0" w:after="283"/>
              <w:jc w:val="left"/>
            </w:pPr>
            <w:r>
              <w:t>☒</w:t>
            </w:r>
          </w:p>
        </w:tc>
        <w:tc>
          <w:tcPr>
            <w:tcW w:w="199" w:type="dxa"/>
            <w:tcBorders/>
            <w:tcMar>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61" w:type="dxa"/>
            <w:tcBorders/>
            <w:tcMar>
              <w:righ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subject annual report, semi-annual report, transition report on Form 10-K, Form 20-F, Form 11-K, Form N-CEN or Form N-CSR, or portion thereof, will be filed on or before the fifteenth calendar day following the prescribed due date; or the subject quarterly report of transition report on Form 10-Q or subject distribution report on Form 10-D, or portion thereof, will be filed on or before the fifth calendar day following the prescribed date; and</w:t>
            </w:r>
          </w:p>
        </w:tc>
      </w:tr>
      <w:tr>
        <w:tc>
          <w:tcPr>
            <w:tcW w:w="245" w:type="dxa"/>
            <w:tcBorders>
              <w:right w:val="single" w:sz="12" w:space="0" w:color="000000"/>
            </w:tcBorders>
            <w:vAlign w:val="center"/>
          </w:tcPr>
          <w:p>
            <w:pPr>
              <w:pStyle w:val="TableContents"/>
              <w:bidi w:val="0"/>
              <w:spacing w:before="0" w:after="283"/>
              <w:jc w:val="left"/>
            </w:pPr>
            <w:r>
              <w:t> </w:t>
            </w:r>
          </w:p>
        </w:tc>
        <w:tc>
          <w:tcPr>
            <w:tcW w:w="199" w:type="dxa"/>
            <w:tcBorders/>
            <w:tcMar>
              <w:right w:w="0" w:type="dxa"/>
            </w:tcMar>
            <w:vAlign w:val="center"/>
          </w:tcPr>
          <w:p>
            <w:pPr>
              <w:pStyle w:val="TableContents"/>
              <w:bidi w:val="0"/>
              <w:spacing w:before="0" w:after="283"/>
              <w:jc w:val="left"/>
            </w:pPr>
            <w:r>
              <w:t> </w:t>
            </w:r>
          </w:p>
        </w:tc>
        <w:tc>
          <w:tcPr>
            <w:tcW w:w="9761" w:type="dxa"/>
            <w:tcBorders/>
            <w:tcMar>
              <w:right w:w="0" w:type="dxa"/>
            </w:tcMar>
            <w:vAlign w:val="center"/>
          </w:tcPr>
          <w:p>
            <w:pPr>
              <w:pStyle w:val="TableContents"/>
              <w:bidi w:val="0"/>
              <w:spacing w:before="0" w:after="283"/>
              <w:jc w:val="left"/>
            </w:pPr>
            <w:r>
              <w:t> </w:t>
            </w:r>
          </w:p>
        </w:tc>
      </w:tr>
      <w:tr>
        <w:tc>
          <w:tcPr>
            <w:tcW w:w="245" w:type="dxa"/>
            <w:tcBorders>
              <w:right w:val="single" w:sz="12" w:space="0" w:color="000000"/>
            </w:tcBorders>
            <w:vAlign w:val="center"/>
          </w:tcPr>
          <w:p>
            <w:pPr>
              <w:pStyle w:val="TableContents"/>
              <w:bidi w:val="0"/>
              <w:spacing w:before="0" w:after="283"/>
              <w:jc w:val="left"/>
            </w:pPr>
            <w:r>
              <w:t> </w:t>
            </w:r>
          </w:p>
        </w:tc>
        <w:tc>
          <w:tcPr>
            <w:tcW w:w="199" w:type="dxa"/>
            <w:tcBorders/>
            <w:tcMar>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761" w:type="dxa"/>
            <w:tcBorders/>
            <w:tcMar>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accountant’s statement or other exhibit required by Rule 12b-25(c) has been attached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why Forms 10-K, 20-F, 11-K, 10-Q, N-CEN, N-CSR, or the transition report or portion thereof, could not be filed within the prescribed time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compilation, dissemination, and review of the information required to be presented in the Form 20-F for the fiscal year ended June 30, 2026 have imposed time constraints that have rendered the timely filing of the Form 20-F impracticable without undue hardship and expense to the Registrant. As a result, the Registrant is still in the process of compiling required information to complete the Form 20-F. The Registrant anticipates that it will file the Form 20-F no later than the fifteenth calendar day following the prescribed due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bidi w:val="0"/>
        <w:spacing w:before="0" w:after="0"/>
        <w:ind w:left="0" w:right="0" w:firstLine="72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260"/>
        <w:gridCol w:w="6335"/>
      </w:tblGrid>
      <w:t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and telephone number of person to contact in regard to this notification</w:t>
            </w:r>
          </w:p>
        </w:tc>
      </w:tr>
    </w:tbl>
    <w:p>
      <w:pPr>
        <w:pStyle w:val="TextBody"/>
        <w:bidi w:val="0"/>
        <w:spacing w:before="0" w:after="0"/>
        <w:ind w:left="0" w:right="0" w:firstLine="720"/>
        <w:jc w:val="left"/>
        <w:rPr>
          <w:caps w:val="false"/>
          <w:smallCaps w:val="false"/>
        </w:rPr>
      </w:pPr>
      <w:r>
        <w:rPr>
          <w:caps w:val="false"/>
          <w:smallCaps w:val="false"/>
        </w:rPr>
        <w:t> </w:t>
      </w:r>
    </w:p>
    <w:tbl>
      <w:tblPr>
        <w:tblW w:w="3850" w:type="dxa"/>
        <w:jc w:val="left"/>
        <w:tblInd w:w="0" w:type="dxa"/>
        <w:tblLayout w:type="fixed"/>
        <w:tblCellMar>
          <w:top w:w="0" w:type="dxa"/>
          <w:left w:w="0" w:type="dxa"/>
          <w:bottom w:w="28" w:type="dxa"/>
          <w:right w:w="0" w:type="dxa"/>
        </w:tblCellMar>
      </w:tblPr>
      <w:tblGrid>
        <w:gridCol w:w="1055"/>
        <w:gridCol w:w="60"/>
        <w:gridCol w:w="2735"/>
      </w:tblGrid>
      <w:tr>
        <w:tc>
          <w:tcPr>
            <w:tcW w:w="105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Guanghai Li</w:t>
            </w:r>
          </w:p>
        </w:tc>
        <w:tc>
          <w:tcPr>
            <w:tcW w:w="60" w:type="dxa"/>
            <w:tcBorders/>
            <w:tcMar>
              <w:bottom w:w="0" w:type="dxa"/>
            </w:tcMar>
            <w:vAlign w:val="center"/>
          </w:tcPr>
          <w:p>
            <w:pPr>
              <w:pStyle w:val="TableContents"/>
              <w:bidi w:val="0"/>
              <w:spacing w:before="0" w:after="283"/>
              <w:jc w:val="center"/>
            </w:pPr>
            <w:r>
              <w:t> </w:t>
            </w:r>
          </w:p>
        </w:tc>
        <w:tc>
          <w:tcPr>
            <w:tcW w:w="27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+65 82336584</w:t>
            </w:r>
          </w:p>
        </w:tc>
      </w:tr>
      <w:tr>
        <w:tc>
          <w:tcPr>
            <w:tcW w:w="10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w:t>
            </w:r>
          </w:p>
        </w:tc>
        <w:tc>
          <w:tcPr>
            <w:tcW w:w="60" w:type="dxa"/>
            <w:tcBorders/>
            <w:tcMar>
              <w:bottom w:w="0" w:type="dxa"/>
            </w:tcMar>
            <w:vAlign w:val="center"/>
          </w:tcPr>
          <w:p>
            <w:pPr>
              <w:pStyle w:val="TableContents"/>
              <w:bidi w:val="0"/>
              <w:spacing w:before="0" w:after="283"/>
              <w:jc w:val="center"/>
            </w:pPr>
            <w:r>
              <w:t> </w:t>
            </w:r>
          </w:p>
        </w:tc>
        <w:tc>
          <w:tcPr>
            <w:tcW w:w="27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(Area Code) (Telephone Number)</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2"/>
        <w:gridCol w:w="9983"/>
      </w:tblGrid>
      <w:tr>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it anticipated that any significant change in results of operations from the corresponding period for the last fiscal year will be reflected by the earnings statements to be included in the subject report or portion thereof?</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anticipates significant changes in its results of operations for the fiscal year ended June 30, 2026. Specifically, the Company anticipates a material decrease in revenue compared to the prior fiscal year, primarily reflecting evolving business operations and strategic investments, and the Company also expects to report a net loss, compared to net income in the prior fiscal year. As the Company’s financial statements remain subject to ongoing audit procedures, including the review of certain expenses and accounting adjustments, the Company is not yet able to provide reliable quantitative estimates of these changes. Additional details will be provided upon completion of the audit and filing of the Company’s Annual Report on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pPr>
      <w: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Helport AI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560" w:type="dxa"/>
        <w:jc w:val="left"/>
        <w:tblInd w:w="0" w:type="dxa"/>
        <w:tblLayout w:type="fixed"/>
        <w:tblCellMar>
          <w:top w:w="0" w:type="dxa"/>
          <w:left w:w="0" w:type="dxa"/>
          <w:bottom w:w="0" w:type="dxa"/>
          <w:right w:w="0" w:type="dxa"/>
        </w:tblCellMar>
      </w:tblPr>
      <w:tblGrid>
        <w:gridCol w:w="2015"/>
        <w:gridCol w:w="590"/>
        <w:gridCol w:w="1955"/>
      </w:tblGrid>
      <w:tr>
        <w:tc>
          <w:tcPr>
            <w:tcW w:w="2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3, 2026</w:t>
            </w:r>
          </w:p>
        </w:tc>
        <w:tc>
          <w:tcPr>
            <w:tcW w:w="590" w:type="dxa"/>
            <w:tcBorders/>
            <w:vAlign w:val="center"/>
          </w:tcPr>
          <w:p>
            <w:pPr>
              <w:pStyle w:val="TableContents"/>
              <w:bidi w:val="0"/>
              <w:spacing w:before="0" w:after="283"/>
              <w:jc w:val="left"/>
            </w:pPr>
            <w:r>
              <w:t> </w:t>
            </w:r>
          </w:p>
        </w:tc>
        <w:tc>
          <w:tcPr>
            <w:tcW w:w="1955" w:type="dxa"/>
            <w:tcBorders/>
            <w:vAlign w:val="center"/>
          </w:tcPr>
          <w:p>
            <w:pPr>
              <w:pStyle w:val="TableContents"/>
              <w:bidi w:val="0"/>
              <w:spacing w:before="0" w:after="283"/>
              <w:jc w:val="left"/>
            </w:pPr>
            <w:r>
              <w:t> </w:t>
            </w:r>
          </w:p>
        </w:tc>
      </w:tr>
      <w:tr>
        <w:tc>
          <w:tcPr>
            <w:tcW w:w="2015" w:type="dxa"/>
            <w:tcBorders/>
            <w:vAlign w:val="center"/>
          </w:tcPr>
          <w:p>
            <w:pPr>
              <w:pStyle w:val="TableContents"/>
              <w:bidi w:val="0"/>
              <w:spacing w:before="0" w:after="283"/>
              <w:jc w:val="left"/>
            </w:pPr>
            <w: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Guanghai Li</w:t>
            </w:r>
          </w:p>
        </w:tc>
      </w:tr>
      <w:tr>
        <w:tc>
          <w:tcPr>
            <w:tcW w:w="2015" w:type="dxa"/>
            <w:tcBorders/>
            <w:vAlign w:val="center"/>
          </w:tcPr>
          <w:p>
            <w:pPr>
              <w:pStyle w:val="TableContents"/>
              <w:bidi w:val="0"/>
              <w:spacing w:before="0" w:after="283"/>
              <w:jc w:val="left"/>
            </w:pPr>
            <w: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Guanghai Li</w:t>
            </w:r>
          </w:p>
        </w:tc>
      </w:tr>
      <w:tr>
        <w:tc>
          <w:tcPr>
            <w:tcW w:w="2015" w:type="dxa"/>
            <w:tcBorders/>
            <w:vAlign w:val="center"/>
          </w:tcPr>
          <w:p>
            <w:pPr>
              <w:pStyle w:val="TableContents"/>
              <w:bidi w:val="0"/>
              <w:spacing w:before="0" w:after="283"/>
              <w:jc w:val="left"/>
            </w:pPr>
            <w: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735</Words>
  <Characters>3811</Characters>
  <CharactersWithSpaces>4550</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