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661-6k_helport.htm"/>
      <w:bookmarkStart w:id="1" w:name="ksea02976616k_helpor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July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Helport AI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#07-00, Suntec Tower Two,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038989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Helport AI Limited, a British Virgin Islands business company with limited liability (the “Company”), entered into a sales agreement (the “Sales Agreement”) with Lake Street Capital Markets, LLC (the “Sales Agent”), acting as the Company’s sales agent, pursuant to which the Company may offer and sell, from time to time, through the Sales Agent the Company’s ordinary shares, par value $0.0001 per share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sell any shares under the Sales Agreement. Subject to the terms and conditions of the Sales Agreement, the Sales Agent will use commercially reasonable efforts consistent with its normal trading and sales practices, applicable state and federal law, rules and regulations, and the rules of the Nasdaq Stock Market to sell shares from time to time based upon the Company’s instructions, which instructions may include any price, time, or size limits specified by the Company. Upon delivery of an issuance notice, and subject to the Company’s instructions in that notice, and the terms and conditions of the Sales Agreement generally, the Sales Agent may sell the Ordinary Shares by any method permitted by law deemed to be an “at the market offering” as defined by Rule 415(a)(4) promulgated under the Securities Act of 1933, as amended. The Company will pay the Sales Agent a commission of up to 3.0% of the aggregate gross proceeds from each sale of Ordinary Shares and has agreed to provide the Sales Agent with customary indemnification rights. The Company has also agreed to reimburse the Sales Agent for certain specified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Ordinary Shares will be offered and sold pursuant to the prospectus supplement, dated July 10, 2026, to the registration statement on Form F-3 (Registration Number </w:t>
      </w:r>
      <w:hyperlink r:id="rId2">
        <w:r>
          <w:rPr>
            <w:rStyle w:val="InternetLink"/>
            <w:rFonts w:ascii="Times New Roman;Times;Serif" w:hAnsi="Times New Roman;Times;Serif"/>
            <w:b w:val="false"/>
            <w:i w:val="false"/>
            <w:caps w:val="false"/>
            <w:smallCaps w:val="false"/>
            <w:sz w:val="20"/>
          </w:rPr>
          <w:t>333-294622</w:t>
        </w:r>
      </w:hyperlink>
      <w:r>
        <w:rPr>
          <w:rFonts w:ascii="Times New Roman;Times;Serif" w:hAnsi="Times New Roman;Times;Serif"/>
          <w:b w:val="false"/>
          <w:i w:val="false"/>
          <w:caps w:val="false"/>
          <w:smallCaps w:val="false"/>
          <w:sz w:val="20"/>
        </w:rPr>
        <w:t>), initially filed by the Company on March 26, 2026 with the U.S. Securities and Exchange Commission (the “Registration Statement”), that forms a part of such Registration Statement, for an aggregate offering price of up to $9,550,000. The legality of the Ordinary Shares to be offered and sold pursuant to the prospectus supplement and the Sales Agreement is the subject of the opinion of Ogier, filed as Exhibit 5.1 to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Sales Agreement does not purport to be complete and is qualified in its entirety by reference to the full text of the form of the Sales Agreement, which is attached as an exhibit to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is hereby incorporated by reference into the Registration Statement and into any prospectus outstanding under the Registration Statement, to the extent not superseded by documents or reports subsequently filed or furnished by the Company under the Securities Act of 1933, as amended, or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28" w:type="dxa"/>
          <w:right w:w="0" w:type="dxa"/>
        </w:tblCellMar>
      </w:tblPr>
      <w:tblGrid>
        <w:gridCol w:w="995"/>
        <w:gridCol w:w="60"/>
        <w:gridCol w:w="870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7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5" w:type="dxa"/>
            <w:tcBorders/>
            <w:shd w:fill="CCEEFF" w:val="clear"/>
            <w:tcMar>
              <w:bottom w:w="0" w:type="dxa"/>
            </w:tcMar>
            <w:vAlign w:val="center"/>
          </w:tcPr>
          <w:p>
            <w:pPr>
              <w:pStyle w:val="TableContents"/>
              <w:bidi w:val="0"/>
              <w:spacing w:before="0" w:after="283"/>
              <w:jc w:val="left"/>
              <w:rPr/>
            </w:pPr>
            <w:hyperlink w:anchor="ea029766101ex5-1.htm">
              <w:r>
                <w:rPr>
                  <w:rStyle w:val="InternetLink"/>
                  <w:rFonts w:ascii="Times New Roman;Times;Serif" w:hAnsi="Times New Roman;Times;Serif"/>
                  <w:sz w:val="20"/>
                </w:rPr>
                <w:t>Legal Opinion of Ogier</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05" w:type="dxa"/>
            <w:tcBorders/>
            <w:shd w:fill="FFFFFF" w:val="clear"/>
            <w:tcMar>
              <w:bottom w:w="0" w:type="dxa"/>
            </w:tcMar>
            <w:vAlign w:val="center"/>
          </w:tcPr>
          <w:p>
            <w:pPr>
              <w:pStyle w:val="TableContents"/>
              <w:bidi w:val="0"/>
              <w:spacing w:before="0" w:after="283"/>
              <w:jc w:val="left"/>
              <w:rPr/>
            </w:pPr>
            <w:hyperlink w:anchor="ea029766101ex10-1.htm">
              <w:r>
                <w:rPr>
                  <w:rStyle w:val="InternetLink"/>
                  <w:rFonts w:ascii="Times New Roman;Times;Serif" w:hAnsi="Times New Roman;Times;Serif"/>
                  <w:sz w:val="20"/>
                </w:rPr>
                <w:t>Sales Agreement, dated July 10, 2026, by and between the Company and Lake Street Capital Markets, LLC</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635"/>
        <w:gridCol w:w="1955"/>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Helport AI Limited</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Guanghai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Guanghai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9766101ex5-1.htm"/>
      <w:bookmarkStart w:id="3" w:name="ksea029766101ex51"/>
      <w:bookmarkEnd w:id="2"/>
      <w:bookmarkEnd w:id="3"/>
      <w:r>
        <w:rPr>
          <w:b/>
        </w:rPr>
        <w:t>Exhibit 5.1</w:t>
      </w:r>
      <w:r>
        <w:br w:type="page"/>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228725" cy="609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865"/>
        <w:gridCol w:w="60"/>
        <w:gridCol w:w="3665"/>
      </w:tblGrid>
      <w:tr>
        <w:trPr/>
        <w:tc>
          <w:tcPr>
            <w:tcW w:w="1865" w:type="dxa"/>
            <w:vMerge w:val="restart"/>
            <w:tcBorders/>
            <w:vAlign w:val="center"/>
          </w:tcPr>
          <w:p>
            <w:pPr>
              <w:pStyle w:val="TableContents"/>
              <w:bidi w:val="0"/>
              <w:spacing w:before="0" w:after="283"/>
              <w:jc w:val="left"/>
              <w:rPr/>
            </w:pPr>
            <w:r>
              <w:rPr/>
              <w:t>Helport AI Limited</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b/>
              </w:rPr>
            </w:pPr>
            <w:r>
              <w:rPr>
                <w:b/>
              </w:rPr>
              <w:t>D  +852 3656 6054</w:t>
            </w:r>
          </w:p>
        </w:tc>
      </w:tr>
      <w:tr>
        <w:trPr/>
        <w:tc>
          <w:tcPr>
            <w:tcW w:w="18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b/>
              </w:rPr>
            </w:pPr>
            <w:r>
              <w:rPr>
                <w:b/>
              </w:rPr>
              <w:t>E  nathan.powell@ogier.com</w:t>
            </w:r>
          </w:p>
        </w:tc>
      </w:tr>
      <w:tr>
        <w:trPr/>
        <w:tc>
          <w:tcPr>
            <w:tcW w:w="18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b/>
              </w:rPr>
            </w:pPr>
            <w:r>
              <w:rPr>
                <w:b/>
              </w:rPr>
              <w:t>D  +852 3656 6073</w:t>
            </w:r>
          </w:p>
        </w:tc>
      </w:tr>
      <w:tr>
        <w:trPr/>
        <w:tc>
          <w:tcPr>
            <w:tcW w:w="18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b/>
              </w:rPr>
            </w:pPr>
            <w:r>
              <w:rPr>
                <w:b/>
              </w:rPr>
              <w:t>E  rachel.huang@ogier.com</w:t>
            </w:r>
          </w:p>
        </w:tc>
      </w:tr>
      <w:tr>
        <w:trPr/>
        <w:tc>
          <w:tcPr>
            <w:tcW w:w="18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Reference: NMP/RYH/510506.00001</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10 July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Helport AI Limited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British Virgin Islands law in connection with the offering and sale of up to US$9,550,000 of shares of a single class each with a par value of US$0.0001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under the At Market Issuance Sales Agreement among the Company and Lake Street Capital Markets, LLC dated 10 July 2026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xml:space="preserve">) and the Company’s registration statement on Form F-3 dated 30 March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filed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the prospectus contained therein, and the prospectus supplement dated 10 July 2026, forming a part of such prospectus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We are furnishing this opinion as Exhibit 5.1 to the Company’s current report on Form 6-K to be furnished to the Commission on 10 July 2026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as to any matter pertaining to the contents of the Form 6-K and the Registration Statement other than as expressly stated herein with respect to the issue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pStyle w:val="TextBody"/>
        <w:bidi w:val="0"/>
        <w:spacing w:before="0" w:after="0"/>
        <w:ind w:left="709" w:right="0" w:hanging="709"/>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4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283"/>
              <w:jc w:val="both"/>
              <w:rPr/>
            </w:pPr>
            <w:r>
              <w:rPr/>
              <w:t>Documents examined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documents set out below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below. We have not made any searches or enquiries concerning, and have not examined any documents entered into by or affecting the Company or any other person, save for the searches, enquiries and examinations expressly referred to below:</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 xml:space="preserve">the constitutional documents and public records of the Company obtained from the Registry of Corporate Affairs in the British Virgin Islands on 21 November 2024 (the </w:t>
            </w:r>
            <w:r>
              <w:rPr>
                <w:b/>
              </w:rPr>
              <w:t>Company Registry Records</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3515"/>
        <w:gridCol w:w="1535"/>
        <w:gridCol w:w="1655"/>
        <w:gridCol w:w="3215"/>
      </w:tblGrid>
      <w:tr>
        <w:trPr/>
        <w:tc>
          <w:tcPr>
            <w:tcW w:w="351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British Virgin Islands,</w:t>
              <w:br/>
              <w:t>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153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tc>
        <w:tc>
          <w:tcPr>
            <w:tcW w:w="16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r>
              <w:rPr>
                <w:rFonts w:ascii="Times New Roman;Times;Serif" w:hAnsi="Times New Roman;Times;Serif"/>
                <w:b w:val="false"/>
                <w:i w:val="false"/>
                <w:caps w:val="false"/>
                <w:smallCaps w:val="false"/>
                <w:position w:val="7"/>
                <w:sz w:val="16"/>
                <w:sz w:val="20"/>
              </w:rPr>
              <w:t>‡</w:t>
            </w:r>
          </w:p>
        </w:tc>
        <w:tc>
          <w:tcPr>
            <w:tcW w:w="32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England and Wales</w:t>
            </w:r>
          </w:p>
          <w:p>
            <w:pPr>
              <w:pStyle w:val="TableContents"/>
              <w:bidi w:val="0"/>
              <w:spacing w:before="0" w:after="0"/>
              <w:ind w:left="0" w:right="0" w:hanging="0"/>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20"/>
              </w:rPr>
              <w:t>not ordinarily resident in Hong Kong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 xml:space="preserve">the public information revealed from a search of the electronic records of the Civil Division and the Commercial Division of the Registry of the High Court and of the Court of Appeal (Virgin Islands) Register, each from 1 January 2000, as maintained on the Judicial Enforcement Management System (the </w:t>
            </w:r>
            <w:r>
              <w:rPr>
                <w:b/>
              </w:rPr>
              <w:t>High Court Database</w:t>
            </w:r>
            <w:r>
              <w:rPr/>
              <w:t xml:space="preserve">) by the Registry of the High Court of the Virgin Islands on 21 November 2024 (the </w:t>
            </w:r>
            <w:r>
              <w:rPr>
                <w:b/>
              </w:rPr>
              <w:t>Court Records</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 xml:space="preserve">the Company Registry Records and the Court Records each as updated by update searches on 10 July 2026 (the Company Registry Records and the Court Records together, and as updated, the </w:t>
            </w:r>
            <w:r>
              <w:rPr>
                <w:b/>
              </w:rPr>
              <w:t>Public Records</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5" w:type="dxa"/>
            <w:tcBorders/>
            <w:vAlign w:val="center"/>
          </w:tcPr>
          <w:p>
            <w:pPr>
              <w:pStyle w:val="TableContents"/>
              <w:bidi w:val="0"/>
              <w:spacing w:before="0" w:after="283"/>
              <w:jc w:val="both"/>
              <w:rPr/>
            </w:pPr>
            <w:r>
              <w:rPr/>
              <w:t xml:space="preserve">a certificate of incumbency in respect of the Company dated 25 March 2026 (the </w:t>
            </w:r>
            <w:r>
              <w:rPr>
                <w:b/>
              </w:rPr>
              <w:t>Certificate of Incumbency</w:t>
            </w:r>
            <w:r>
              <w:rPr/>
              <w:t>) issued by the registered agent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(e)</w:t>
            </w:r>
          </w:p>
        </w:tc>
        <w:tc>
          <w:tcPr>
            <w:tcW w:w="9927" w:type="dxa"/>
            <w:tcBorders/>
            <w:vAlign w:val="center"/>
          </w:tcPr>
          <w:p>
            <w:pPr>
              <w:pStyle w:val="TableContents"/>
              <w:bidi w:val="0"/>
              <w:spacing w:before="0" w:after="283"/>
              <w:jc w:val="both"/>
              <w:rPr/>
            </w:pPr>
            <w:r>
              <w:rPr/>
              <w:t xml:space="preserve">a certificate of good standing dated 24 March 2026 (the </w:t>
            </w:r>
            <w:r>
              <w:rPr>
                <w:b/>
              </w:rPr>
              <w:t>Good Standing Certificate</w:t>
            </w:r>
            <w:r>
              <w:rPr/>
              <w:t>) issued by the Registry of Corporate Affairs in the British Virgin Islands in respect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45"/>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7715" w:type="dxa"/>
            <w:tcBorders/>
            <w:vAlign w:val="center"/>
          </w:tcPr>
          <w:p>
            <w:pPr>
              <w:pStyle w:val="TableContents"/>
              <w:bidi w:val="0"/>
              <w:spacing w:before="0" w:after="283"/>
              <w:jc w:val="both"/>
              <w:rPr/>
            </w:pPr>
            <w:r>
              <w:rPr/>
              <w:t xml:space="preserve">the register of directors of the Company dated 11 November 2025 (the </w:t>
            </w:r>
            <w:r>
              <w:rPr>
                <w:b/>
              </w:rPr>
              <w:t>Register</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(g)</w:t>
            </w:r>
          </w:p>
        </w:tc>
        <w:tc>
          <w:tcPr>
            <w:tcW w:w="9890" w:type="dxa"/>
            <w:tcBorders/>
            <w:vAlign w:val="center"/>
          </w:tcPr>
          <w:p>
            <w:pPr>
              <w:pStyle w:val="TableContents"/>
              <w:bidi w:val="0"/>
              <w:spacing w:before="0" w:after="283"/>
              <w:jc w:val="both"/>
              <w:rPr/>
            </w:pPr>
            <w:r>
              <w:rPr/>
              <w:t xml:space="preserve">the unanimous written resolutions of the board of directors of the Company dated 15 April 2026 (the </w:t>
            </w:r>
            <w:r>
              <w:rPr>
                <w:b/>
              </w:rPr>
              <w:t>Board Resolutions</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9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2045" w:type="dxa"/>
            <w:tcBorders/>
            <w:vAlign w:val="center"/>
          </w:tcPr>
          <w:p>
            <w:pPr>
              <w:pStyle w:val="TableContents"/>
              <w:bidi w:val="0"/>
              <w:spacing w:before="0" w:after="283"/>
              <w:jc w:val="both"/>
              <w:rPr/>
            </w:pPr>
            <w:r>
              <w:rPr/>
              <w:t>the Sales Agreement;</w:t>
            </w:r>
          </w:p>
        </w:tc>
      </w:tr>
    </w:tbl>
    <w:p>
      <w:pPr>
        <w:pStyle w:val="TextBody"/>
        <w:bidi w:val="0"/>
        <w:spacing w:before="0" w:after="0"/>
        <w:ind w:left="1418" w:right="0" w:hanging="709"/>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ind w:left="1418" w:right="0" w:hanging="709"/>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3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3050" w:type="dxa"/>
            <w:tcBorders/>
            <w:vAlign w:val="center"/>
          </w:tcPr>
          <w:p>
            <w:pPr>
              <w:pStyle w:val="TableContents"/>
              <w:bidi w:val="0"/>
              <w:spacing w:before="0" w:after="283"/>
              <w:jc w:val="both"/>
              <w:rPr/>
            </w:pPr>
            <w:r>
              <w:rPr/>
              <w:t>the Prospectus Supplement; and</w:t>
            </w:r>
          </w:p>
        </w:tc>
      </w:tr>
    </w:tbl>
    <w:p>
      <w:pPr>
        <w:pStyle w:val="TextBody"/>
        <w:bidi w:val="0"/>
        <w:spacing w:before="0" w:after="0"/>
        <w:ind w:left="1418" w:right="0" w:hanging="709"/>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29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1385" w:type="dxa"/>
            <w:tcBorders/>
            <w:vAlign w:val="center"/>
          </w:tcPr>
          <w:p>
            <w:pPr>
              <w:pStyle w:val="TableContents"/>
              <w:bidi w:val="0"/>
              <w:spacing w:before="0" w:after="283"/>
              <w:jc w:val="both"/>
              <w:rPr/>
            </w:pPr>
            <w:r>
              <w:rPr/>
              <w:t>the Form 6-K.</w:t>
            </w:r>
          </w:p>
        </w:tc>
      </w:tr>
    </w:tbl>
    <w:p>
      <w:pPr>
        <w:pStyle w:val="TextBody"/>
        <w:bidi w:val="0"/>
        <w:spacing w:before="0" w:after="0"/>
        <w:ind w:left="709" w:right="0" w:hanging="709"/>
        <w:jc w:val="both"/>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4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265" w:type="dxa"/>
            <w:tcBorders/>
            <w:vAlign w:val="center"/>
          </w:tcPr>
          <w:p>
            <w:pPr>
              <w:pStyle w:val="TableContents"/>
              <w:bidi w:val="0"/>
              <w:spacing w:before="0" w:after="283"/>
              <w:jc w:val="both"/>
              <w:rPr/>
            </w:pPr>
            <w:r>
              <w:rPr/>
              <w:t>Assumptions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1 without having carried out any independent investigation or verification in respect of those assumptions.</w:t>
      </w:r>
    </w:p>
    <w:p>
      <w:pPr>
        <w:pStyle w:val="TextBody"/>
        <w:bidi w:val="0"/>
        <w:spacing w:before="0" w:after="0"/>
        <w:ind w:left="709" w:right="0" w:hanging="709"/>
        <w:jc w:val="both"/>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4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905" w:type="dxa"/>
            <w:tcBorders/>
            <w:vAlign w:val="center"/>
          </w:tcPr>
          <w:p>
            <w:pPr>
              <w:pStyle w:val="TableContents"/>
              <w:bidi w:val="0"/>
              <w:spacing w:before="0" w:after="283"/>
              <w:jc w:val="both"/>
              <w:rPr/>
            </w:pPr>
            <w:r>
              <w:rPr/>
              <w:t>Opinions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2 and the limitations set forth below, we are of the opinion that: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 xml:space="preserve">The Company is a company duly incorporated with limited liability under the BVI Business Companies Act, 2004 (the </w:t>
            </w:r>
            <w:r>
              <w:rPr>
                <w:b/>
              </w:rPr>
              <w:t>BCA</w:t>
            </w:r>
            <w:r>
              <w:rPr/>
              <w:t>) on 3 October 2023, and is validly existing and, based solely on the Good Standing Certificate, is in good standing under the laws of the British Virgin Islands. It is a separate legal entity and subject to suit in its own name and has the capacity to sue in its own name.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The Shares to be offered and issued by the Company as contemplated by the Registration Statement and the Sales Agreement have been duly authorised and, when issued by the Company upon: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t>payment in full of the consideration as set out in the Registration Statement and the Sales Agreement and in accordance with the terms set out in the Registration Statement and the Sales Agreement and in accordance with the Company’s memorandum and articles of association; and</w:t>
            </w:r>
          </w:p>
        </w:tc>
      </w:tr>
    </w:tbl>
    <w:p>
      <w:pPr>
        <w:pStyle w:val="TextBody"/>
        <w:bidi w:val="0"/>
        <w:spacing w:before="0" w:after="0"/>
        <w:ind w:left="2126" w:right="0" w:hanging="708"/>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9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705" w:type="dxa"/>
            <w:tcBorders/>
            <w:vAlign w:val="center"/>
          </w:tcPr>
          <w:p>
            <w:pPr>
              <w:pStyle w:val="TableContents"/>
              <w:bidi w:val="0"/>
              <w:spacing w:before="0" w:after="283"/>
              <w:jc w:val="both"/>
              <w:rPr/>
            </w:pPr>
            <w:r>
              <w:rPr/>
              <w:t>the entry of those Ordinary Shares as fully paid on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0"/>
        <w:ind w:left="709" w:right="0" w:hanging="709"/>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14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100" w:type="dxa"/>
            <w:tcBorders/>
            <w:vAlign w:val="center"/>
          </w:tcPr>
          <w:p>
            <w:pPr>
              <w:pStyle w:val="TableContents"/>
              <w:bidi w:val="0"/>
              <w:spacing w:before="0" w:after="283"/>
              <w:jc w:val="both"/>
              <w:rPr/>
            </w:pPr>
            <w:r>
              <w:rPr/>
              <w:t>Limitations</w:t>
            </w:r>
          </w:p>
        </w:tc>
      </w:tr>
    </w:tbl>
    <w:p>
      <w:pPr>
        <w:pStyle w:val="TextBody"/>
        <w:bidi w:val="0"/>
        <w:spacing w:before="0" w:after="0"/>
        <w:ind w:left="709" w:right="0" w:hanging="709"/>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32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2015" w:type="dxa"/>
            <w:tcBorders/>
            <w:vAlign w:val="center"/>
          </w:tcPr>
          <w:p>
            <w:pPr>
              <w:pStyle w:val="TableContents"/>
              <w:bidi w:val="0"/>
              <w:spacing w:before="0" w:after="283"/>
              <w:jc w:val="both"/>
              <w:rPr/>
            </w:pPr>
            <w:r>
              <w:rPr/>
              <w:t>We offer no opinion: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in relation to the laws of any jurisdiction other than the laws of the British Virgin Islands, and we have not, for the purposes of this opinion, made any investigation into such laws of any other jurisdiction and we express no opinion as to the meaning, validity, or effect of references in the Documents to statutes, rules, regulations, codes or judicial authority of any jurisdiction other than the British Virgin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in relation to any representation or warranty made or given by the Company in the Documents or, save as expressly set out herein, as to whether the Company will be able to perform its obligations under the Documents;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as to the commercial terms of the Documents (or as to how the commercial terms of the Documents reflect the intentions of the parties) or, except to the extent that this opinion expressly provides otherwise, the validity, enforceability or effect of the Documents,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unless this opinion expressly provides otherwise;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as to whether the acceptance, execution or performance of the obligations of the Company under the Documents will result in the breach of or infringe any other agreement, deed or document (other than the Company’s memorandum and articles of association) entered into by or binding on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283"/>
              <w:jc w:val="both"/>
              <w:rPr/>
            </w:pPr>
            <w:r>
              <w:rPr/>
              <w:t>as to the rights, title or interest of the Company to or in, or the existence of, any property or assets that are the subject of the Documents.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14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2885"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32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1505" w:type="dxa"/>
            <w:tcBorders/>
            <w:vAlign w:val="center"/>
          </w:tcPr>
          <w:p>
            <w:pPr>
              <w:pStyle w:val="TableContents"/>
              <w:bidi w:val="0"/>
              <w:spacing w:before="0" w:after="283"/>
              <w:jc w:val="both"/>
              <w:rPr/>
            </w:pPr>
            <w:r>
              <w:rPr/>
              <w:t>This opinion is:</w:t>
            </w:r>
          </w:p>
        </w:tc>
      </w:tr>
    </w:tbl>
    <w:p>
      <w:pPr>
        <w:pStyle w:val="TextBody"/>
        <w:bidi w:val="0"/>
        <w:spacing w:before="0" w:after="0"/>
        <w:ind w:left="1418" w:right="0" w:hanging="709"/>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275"/>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283"/>
              <w:jc w:val="both"/>
              <w:rPr/>
            </w:pPr>
            <w:r>
              <w:rPr/>
              <w:t>governed by, and shall be construed in accordance with, the laws of the British Virgin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9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430"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both"/>
              <w:rPr/>
            </w:pPr>
            <w:r>
              <w:rPr/>
              <w:t>confined to, and given on the basis of, the laws and practice in the British Virgin Islands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7" w:type="dxa"/>
            <w:tcBorders/>
            <w:vAlign w:val="center"/>
          </w:tcPr>
          <w:p>
            <w:pPr>
              <w:pStyle w:val="TableContents"/>
              <w:bidi w:val="0"/>
              <w:spacing w:before="0" w:after="283"/>
              <w:jc w:val="both"/>
              <w:rPr/>
            </w:pPr>
            <w:r>
              <w:rPr/>
              <w:t>Unless otherwise indicated, a reference to any specific British Virgin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4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815" w:type="dxa"/>
            <w:tcBorders/>
            <w:vAlign w:val="center"/>
          </w:tcPr>
          <w:p>
            <w:pPr>
              <w:pStyle w:val="TableContents"/>
              <w:bidi w:val="0"/>
              <w:spacing w:before="0" w:after="283"/>
              <w:jc w:val="both"/>
              <w:rPr/>
            </w:pPr>
            <w:r>
              <w:rPr/>
              <w:t>Consent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Form 6-K. In giving such consent, we do not thereby admit that we come within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1610" w:type="dxa"/>
        <w:jc w:val="left"/>
        <w:tblInd w:w="0" w:type="dxa"/>
        <w:tblLayout w:type="fixed"/>
        <w:tblCellMar>
          <w:top w:w="0" w:type="dxa"/>
          <w:left w:w="0" w:type="dxa"/>
          <w:bottom w:w="0" w:type="dxa"/>
          <w:right w:w="0" w:type="dxa"/>
        </w:tblCellMar>
      </w:tblPr>
      <w:tblGrid>
        <w:gridCol w:w="1535"/>
        <w:gridCol w:w="75"/>
      </w:tblGrid>
      <w:tr>
        <w:trPr/>
        <w:tc>
          <w:tcPr>
            <w:tcW w:w="1535" w:type="dxa"/>
            <w:tcBorders/>
            <w:vAlign w:val="center"/>
          </w:tcPr>
          <w:p>
            <w:pPr>
              <w:pStyle w:val="TableContents"/>
              <w:bidi w:val="0"/>
              <w:spacing w:before="0" w:after="283"/>
              <w:jc w:val="left"/>
              <w:rPr/>
            </w:pPr>
            <w:r>
              <w:rPr/>
              <w:t>Yours faithfully</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b/>
                <w:caps w:val="false"/>
                <w:smallCaps w:val="false"/>
                <w:strike w:val="false"/>
                <w:dstrike w:val="false"/>
                <w:u w:val="none"/>
                <w:effect w:val="none"/>
              </w:rPr>
            </w:pPr>
            <w:r>
              <w:rPr>
                <w:b/>
                <w:caps w:val="false"/>
                <w:smallCaps w:val="false"/>
                <w:strike w:val="false"/>
                <w:dstrike w:val="false"/>
                <w:u w:val="none"/>
                <w:effect w:val="none"/>
              </w:rPr>
              <w:t>/s/ Ogier</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b/>
              </w:rPr>
            </w:pPr>
            <w:r>
              <w:rPr>
                <w:b/>
              </w:rPr>
              <w:t>Ogier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09" w:right="0" w:hanging="709"/>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4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6380"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4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9740"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t>Each of the Good Standing Certificate, the Certificate of Incumbency and the Register is accurate and complete as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All copies of the Documents are true and correct copies and the Documents conform in every material respect to the latest drafts of the same produced to us and, where any of the Documents has been provided to us in successive drafts marked-up to indicate changes to such documents, all such changes have been so indicated.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t>The Board Resolutions remain in full force and effect and each of the directors of the Company has acted in good faith with a view to the best interests of the Company and has exercised the standard of care, diligence and skill that is required of him or her in approving the transactions approved in the Board Resolutions and each of the directors does not have a financial interest in or other relationship to a party of the transactions approved in the Board Resolutions which has not been properly disclosed in the Board Resolutions.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7" w:type="dxa"/>
            <w:tcBorders/>
            <w:vAlign w:val="center"/>
          </w:tcPr>
          <w:p>
            <w:pPr>
              <w:pStyle w:val="TableContents"/>
              <w:bidi w:val="0"/>
              <w:spacing w:before="0" w:after="283"/>
              <w:jc w:val="both"/>
              <w:rPr/>
            </w:pPr>
            <w:r>
              <w:rPr/>
              <w:t>All parties to the Registration Statement and the Documents other than the Company (and other than any party that is an individual) are duly incorporated, formed or organised (as applicable), validly existing and in good standing under all relevant laws.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7" w:type="dxa"/>
            <w:tcBorders/>
            <w:vAlign w:val="center"/>
          </w:tcPr>
          <w:p>
            <w:pPr>
              <w:pStyle w:val="TableContents"/>
              <w:bidi w:val="0"/>
              <w:spacing w:before="0" w:after="283"/>
              <w:jc w:val="both"/>
              <w:rPr/>
            </w:pPr>
            <w:r>
              <w:rPr/>
              <w:t>All parties to the Documents (other than the Company) have the capacity, power and authority to exercise their rights and perform their obligations under such Documents.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7" w:type="dxa"/>
            <w:tcBorders/>
            <w:vAlign w:val="center"/>
          </w:tcPr>
          <w:p>
            <w:pPr>
              <w:pStyle w:val="TableContents"/>
              <w:bidi w:val="0"/>
              <w:spacing w:before="0" w:after="283"/>
              <w:jc w:val="both"/>
              <w:rPr/>
            </w:pPr>
            <w:r>
              <w:rPr/>
              <w:t>Each of the Documents has been duly authorised, executed and unconditionally delivered by or on behalf of all parties to it in accordance with all applicable laws (other than, in the case of the Company, the laws of the British Virgin Islands).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7" w:type="dxa"/>
            <w:tcBorders/>
            <w:vAlign w:val="center"/>
          </w:tcPr>
          <w:p>
            <w:pPr>
              <w:pStyle w:val="TableContents"/>
              <w:bidi w:val="0"/>
              <w:spacing w:before="0" w:after="283"/>
              <w:jc w:val="both"/>
              <w:rPr/>
            </w:pPr>
            <w:r>
              <w:rPr/>
              <w:t>The obligations expressed to be assumed by the Company and by the other parties in each of the Documents constitute legal, valid, binding and enforceable obligations of such parties under all applicable laws (other than the laws of the British Virgin Islands).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7"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British Virgin Islands. In particular, but without limitation to the previous sentence.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7" w:type="dxa"/>
            <w:tcBorders/>
            <w:vAlign w:val="center"/>
          </w:tcPr>
          <w:p>
            <w:pPr>
              <w:pStyle w:val="TableContents"/>
              <w:bidi w:val="0"/>
              <w:spacing w:before="0" w:after="283"/>
              <w:jc w:val="both"/>
              <w:rPr/>
            </w:pPr>
            <w:r>
              <w:rPr/>
              <w:t>The laws or public policies of any jurisdiction other than the British Virgin Islands will not adversely affect the capacity or authority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9907" w:type="dxa"/>
            <w:tcBorders/>
            <w:vAlign w:val="center"/>
          </w:tcPr>
          <w:p>
            <w:pPr>
              <w:pStyle w:val="TableContents"/>
              <w:bidi w:val="0"/>
              <w:spacing w:before="0" w:after="283"/>
              <w:jc w:val="both"/>
              <w:rPr/>
            </w:pPr>
            <w:r>
              <w:rPr/>
              <w:t>Neither the execution or delivery of the Documents nor the exercise by any party to the Documents of its rights or the performance of its obligations under them contravene those laws or public policies.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7" w:type="dxa"/>
            <w:tcBorders/>
            <w:vAlign w:val="center"/>
          </w:tcPr>
          <w:p>
            <w:pPr>
              <w:pStyle w:val="TableContents"/>
              <w:bidi w:val="0"/>
              <w:spacing w:before="0" w:after="283"/>
              <w:jc w:val="both"/>
              <w:rPr/>
            </w:pPr>
            <w:r>
              <w:rPr/>
              <w:t>There are no agreements, documents or arrangements (other than the documents expressly referred to in this opinion as having been examined by us) that materially affect or modify the Documents or the transactions contemplated by them or restrict the powers and authority of the Company in any way.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15</w:t>
            </w:r>
          </w:p>
        </w:tc>
        <w:tc>
          <w:tcPr>
            <w:tcW w:w="9907" w:type="dxa"/>
            <w:tcBorders/>
            <w:vAlign w:val="center"/>
          </w:tcPr>
          <w:p>
            <w:pPr>
              <w:pStyle w:val="TableContents"/>
              <w:bidi w:val="0"/>
              <w:spacing w:before="0" w:after="283"/>
              <w:jc w:val="both"/>
              <w:rPr/>
            </w:pPr>
            <w:r>
              <w:rPr/>
              <w:t>The information and documents disclosed by the searches of the Public Records was and is accurate, up-to-date and remains unchanged as at the date hereof and there is no information or document which has been delivered for registration by any party (other than the Company), or which is required by the laws of the British Virgin Islands to be delivered for registration by any party (other than the Company), which was not included and available for inspection in the Public Records.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16</w:t>
            </w:r>
          </w:p>
        </w:tc>
        <w:tc>
          <w:tcPr>
            <w:tcW w:w="9907" w:type="dxa"/>
            <w:tcBorders/>
            <w:vAlign w:val="center"/>
          </w:tcPr>
          <w:p>
            <w:pPr>
              <w:pStyle w:val="TableContents"/>
              <w:bidi w:val="0"/>
              <w:spacing w:before="0" w:after="283"/>
              <w:jc w:val="both"/>
              <w:rPr/>
            </w:pPr>
            <w:r>
              <w:rPr/>
              <w:t xml:space="preserve">The Company has complied with, or will comply with, its obligation to file (unless the Company is within one of the statutory exceptions to the obligation to file) a financial return (each an </w:t>
            </w:r>
            <w:r>
              <w:rPr>
                <w:b/>
              </w:rPr>
              <w:t>Annual Return</w:t>
            </w:r>
            <w:r>
              <w:rPr/>
              <w:t>) pursuant to Section 98A of the BCA with its registered agent in respect of each year for which such a return is due within the timeframe prescribed by the BCA, and the registered agent has not made any notifications to the Registrar of Corporate Affairs of any failure by the Company to file its Annual Return as required and within the time frame prescribed pursuant to Section 98A(4) of the BCA.</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17</w:t>
            </w:r>
          </w:p>
        </w:tc>
        <w:tc>
          <w:tcPr>
            <w:tcW w:w="9907" w:type="dxa"/>
            <w:tcBorders/>
            <w:vAlign w:val="center"/>
          </w:tcPr>
          <w:p>
            <w:pPr>
              <w:pStyle w:val="TableContents"/>
              <w:bidi w:val="0"/>
              <w:spacing w:before="0" w:after="283"/>
              <w:jc w:val="both"/>
              <w:rPr/>
            </w:pPr>
            <w:r>
              <w:rPr/>
              <w:t>There is no provision of the law of any jurisdiction, other than the British Virgin Islands, which would have any implication in relation to the opinions expressed herein.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Under the BCA an annual fee must be paid in respect of the Company to the Registry of Corporate Affairs. Failure to pay the annual fees by the relevant due date will render the Company liable to a penalty fee in addition to the amount of the outstanding fees. If the license fee and/or any penalty fee remains unpaid from the due date, the Company will be liable to be struck off and dissolved from the Register of Companies in the British Virgin Islands.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Under the BCA, a copy of the Company’s register of directors which is complete must be filed by the Company at the Registry of Corporate Affairs. Failure to make this filing will render the Company liable to a penalty fee and if the filing is not made within the requisite time period or any penalty fee remains unpaid from the due date, the Company will be liable to be struck off and dissolved from the Register of Companies.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t>Under the BCA, an annual financial return, in the prescribed form, must be filed by the Company with its registered agent in respect of each year for which one is due within the timeframe prescribed by the BCA for that year (unless the Company is within one of the statutory exceptions to the obligation to file). Failure to make this filing when due will render the Company liable to a penalty fee and where the Company is liable to the maximum penalty and has not filed its annual return, the Company will be liable to be struck off and dissolved from the Register of Companies.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t>Under the BCA, unless the Company is within one of the statutory exceptions to the obligation to file and is compliant with any conditions for the relevant exception(s) to apply, a copy of the Company’s register of members which is complete and certain prescribed beneficial ownership information for the Company must be filed by the Company at the Registry of Corporate Affairs. Failure to make these filings will render the Company liable to penalty fees and if the filings are not made within the requisite time period or any penalty fee remains unpaid from the due date, the Company will be liable to be struck off and dissolved from the Register of Companies.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For the purposes of this opinion “in good standing” means only that the Registrar of Corporate Affairs is satisfied that the Company is deemed to be in good standing under Section 235 of the BCA on the date of issue of the Good Standing Certificate. Notwithstanding any expiry date referred to in the certificate, the Company shall cease to be in good standing under Section 235 of the BCA if the Registrar of Corporate Affairs is not, or ceases to be, satisfied that the Company: (i) is on the Register of Companies; (ii) has paid all fees, annual fees and penalties due and payable; (iii) has filed with the Registrar of Corporate Affairs when due a copy of its registers of directors in accordance with and to the extent required by the BCA; and (iv) has filed with the Registrar of Corporate Affairs when due a copy of its registers of members in accordance with and to the extent required by the BCA; and (v) has filed with the Registrar of Corporate Affairs when due beneficial ownership information in accordance with the BCA; and/or where the Registrar of Corporate Affairs has received any notification that the Company has failed to file its annual return in accordance with and to the extent required by the BCA. We have made no enquiries into the Company’s good standing with respect to any other filings or payment of fees, or both, that it may be required to make under the laws of the British Virgin Islands other than the BCA. We have made no enquiries into whether the copy of the register of directors, the copy of the register of members or the Company’s beneficial ownership information filed at the Registry of Corporate Affairs matches the details set out on the Certificate of Incumbency or whether the annual return filed by the Company with its registered agent is in the prescribed form as required pursuant to the BCA.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Records</w:t>
      </w:r>
    </w:p>
    <w:p>
      <w:pPr>
        <w:pStyle w:val="TextBody"/>
        <w:bidi w:val="0"/>
        <w:spacing w:before="0" w:after="0"/>
        <w:ind w:left="709" w:right="0" w:hanging="709"/>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4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7100" w:type="dxa"/>
            <w:tcBorders/>
            <w:vAlign w:val="center"/>
          </w:tcPr>
          <w:p>
            <w:pPr>
              <w:pStyle w:val="TableContents"/>
              <w:bidi w:val="0"/>
              <w:spacing w:before="0" w:after="283"/>
              <w:jc w:val="both"/>
              <w:rPr/>
            </w:pPr>
            <w:r>
              <w:rPr/>
              <w:t>The Public Records and our searches thereof may not reveal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in the case of the Company Registry Records, details of matters which have not been lodged for registration or have been lodged for registration but not actually registered at the time of our search or notifications made to the Registrar of Corporate Affairs by the registered agent of any failure by any Company to file its register of directors, register of members, beneficial ownership information and/or annual return as required and within the time frame prescribed by the BCA;</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in the case of the Court Records, details of proceedings which have been filed but not actually entered in the High Court Database at the time of our search;</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whether an application for the appointment of a liquidator or a receiver has been presented to the High Court of the British Virgin Islands or whether a liquidator or a receiver has been appointed out of court, or whether any out of court dissolution, reconstruction or reorganisation of the Company has been commenced;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any originating process (including an application to appoint a liquidator) in respect of the Company in circumstances where the High Court of the British Virgin Islands has prior to the issuance of such process ordered that such process upon issuance be anonymised (whether on a temporary basis or otherwise),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following points should also be noted:</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t xml:space="preserve">the Court Records reflect the information accessible remotely on the High Court Database, we have not conducted a separate search of the underlying Civil Cause Book (the </w:t>
            </w:r>
            <w:r>
              <w:rPr>
                <w:b/>
              </w:rPr>
              <w:t>Civil Cause Book</w:t>
            </w:r>
            <w:r>
              <w:rPr/>
              <w:t xml:space="preserve">) or the Commercial Cause Book (the </w:t>
            </w:r>
            <w:r>
              <w:rPr>
                <w:b/>
              </w:rPr>
              <w:t>Commercial Cause Book</w:t>
            </w:r>
            <w:r>
              <w:rPr/>
              <w:t>) at the Registry of the High Court of the British Virgin Islands. Although the High Court Database should reflect the content of the Civil Cause Book and the Commercial Cause Book, neither the High Court Database nor the Civil Cause Book or Commercial Cause Book is updated every day, and for that reason neither facility can be relied upon to reveal whether or not a particular entity is a party to litigation in the British Virgin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(f)</w:t>
            </w:r>
          </w:p>
        </w:tc>
        <w:tc>
          <w:tcPr>
            <w:tcW w:w="9948" w:type="dxa"/>
            <w:tcBorders/>
            <w:vAlign w:val="center"/>
          </w:tcPr>
          <w:p>
            <w:pPr>
              <w:pStyle w:val="TableContents"/>
              <w:bidi w:val="0"/>
              <w:spacing w:before="0" w:after="283"/>
              <w:jc w:val="both"/>
              <w:rPr/>
            </w:pPr>
            <w:r>
              <w:rPr/>
              <w:t>the High Court Database is not updated if third parties or noticed parties are added to or removed from the proceedings after their commencement;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(g)</w:t>
            </w:r>
          </w:p>
        </w:tc>
        <w:tc>
          <w:tcPr>
            <w:tcW w:w="9939" w:type="dxa"/>
            <w:tcBorders/>
            <w:vAlign w:val="center"/>
          </w:tcPr>
          <w:p>
            <w:pPr>
              <w:pStyle w:val="TableContents"/>
              <w:bidi w:val="0"/>
              <w:spacing w:before="0" w:after="283"/>
              <w:jc w:val="both"/>
              <w:rPr/>
            </w:pPr>
            <w:r>
              <w:rPr/>
              <w:t>while it is a requirement under Section 118 of the Insolvency Act that notice of the appointment of a receiver be registered with the Registry of Corporate Affairs, however, it should be noted that failure to file a notice of appointment of a receiver does not invalidate the receivership but gives rise to penalties on the part of the receiver and the absence of a registered notice of appointment of a receiver is not conclusive as to there being no existing appointment of a receiver in respect of the Company or its assets.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7" w:type="dxa"/>
            <w:tcBorders/>
            <w:vAlign w:val="center"/>
          </w:tcPr>
          <w:p>
            <w:pPr>
              <w:pStyle w:val="TableContents"/>
              <w:bidi w:val="0"/>
              <w:spacing w:before="0" w:after="283"/>
              <w:jc w:val="both"/>
              <w:rPr/>
            </w:pPr>
            <w:r>
              <w:rPr/>
              <w:t>In this opinion, the phrase “non-assessable” means, with respect to the Equity Securities, that a shareholder shall not, solely by virtue of its status as a shareholder, be liable for additional assessments or calls on such Equity Securities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7" w:type="dxa"/>
            <w:tcBorders/>
            <w:vAlign w:val="center"/>
          </w:tcPr>
          <w:p>
            <w:pPr>
              <w:pStyle w:val="TableContents"/>
              <w:bidi w:val="0"/>
              <w:spacing w:before="0" w:after="283"/>
              <w:jc w:val="both"/>
              <w:rPr/>
            </w:pPr>
            <w:r>
              <w:rPr/>
              <w:t xml:space="preserve">Under the BCA, the entry of the name of a person in the register of members as a holder of a share in a company is </w:t>
            </w:r>
            <w:r>
              <w:rPr>
                <w:i/>
              </w:rPr>
              <w:t>prima facie</w:t>
            </w:r>
            <w:r>
              <w:rPr/>
              <w:t xml:space="preserve"> evidence that legal title in the share vests in that person.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0" w:right="0" w:hanging="0"/>
        <w:jc w:val="right"/>
        <w:rPr>
          <w:b/>
        </w:rPr>
      </w:pPr>
      <w:bookmarkStart w:id="4" w:name="ea029766101ex10-1.htm"/>
      <w:bookmarkStart w:id="5" w:name="ksea029766101ex101"/>
      <w:bookmarkEnd w:id="4"/>
      <w:bookmarkEnd w:id="5"/>
      <w:r>
        <w:rPr>
          <w:b/>
        </w:rPr>
        <w:t>Exhibit 10.1</w:t>
      </w:r>
      <w:r>
        <w:br w:type="page"/>
      </w:r>
    </w:p>
    <w:p>
      <w:pPr>
        <w:pStyle w:val="TextBody"/>
        <w:bidi w:val="0"/>
        <w:jc w:val="right"/>
        <w:rPr/>
      </w:pPr>
      <w:r>
        <w:rPr/>
        <w:t> </w:t>
      </w:r>
    </w:p>
    <w:p>
      <w:pPr>
        <w:pStyle w:val="TextBody"/>
        <w:bidi w:val="0"/>
        <w:jc w:val="right"/>
        <w:rPr>
          <w:b/>
          <w:i/>
        </w:rPr>
      </w:pPr>
      <w:r>
        <w:rPr>
          <w:b/>
          <w:i/>
        </w:rPr>
        <w:t>EXECUTION VERSION</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AT-THE-MARKET ISSUANCE SALES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Suite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Helport AI Limited, a British Virgin Islands business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subject to the terms and conditions stated herein, to issue and sell from time to time through Lake Street Capital Markets, LLC, as sales agent and/or principal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the Company’s ordinary shares, par value $0.0001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on the terms set forth in this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capitalized terms used herein and not otherwise defined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Agency Period</w:t>
      </w:r>
      <w:r>
        <w:rPr>
          <w:rFonts w:ascii="Times New Roman;Times;Serif" w:hAnsi="Times New Roman;Times;Serif"/>
          <w:b w:val="false"/>
          <w:i w:val="false"/>
          <w:caps w:val="false"/>
          <w:smallCaps w:val="false"/>
          <w:sz w:val="20"/>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 and the regulations and published interpretations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Repayment Triggering Event</w:t>
      </w:r>
      <w:r>
        <w:rPr>
          <w:rFonts w:ascii="Times New Roman;Times;Serif" w:hAnsi="Times New Roman;Times;Serif"/>
          <w:b w:val="false"/>
          <w:i w:val="false"/>
          <w:caps w:val="false"/>
          <w:smallCaps w:val="false"/>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means Electronic Data Gathering, Analysis and Retrieval.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2(gg)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with respect to the Company or any of its subsidiaries, any member of any group of organizations described in Sections 414(b), (c), (m) or (o) of the Code of which the Company or such subsidiary is a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Instrument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means the United States Foreign Corrupt Practices Act of 1977,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means the Financial Industry Regulatory Authority,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the minimum Sales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means the European Union General Data Protection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means, collectively, the Health Insurance Portability and Accountability Act of 1996, as amended by the Health Information Technology for Economic and Clinical Health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2(u)</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means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Amount</w:t>
      </w:r>
      <w:r>
        <w:rPr>
          <w:rFonts w:ascii="Times New Roman;Times;Serif" w:hAnsi="Times New Roman;Times;Serif"/>
          <w:b w:val="false"/>
          <w:i w:val="false"/>
          <w:caps w:val="false"/>
          <w:smallCaps w:val="false"/>
          <w:sz w:val="20"/>
        </w:rPr>
        <w:t>” means the aggregate Sales Price of the Shares to be sold by the Agent pursuant to any Issuance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w:t>
      </w:r>
      <w:r>
        <w:rPr>
          <w:rFonts w:ascii="Times New Roman;Times;Serif" w:hAnsi="Times New Roman;Times;Serif"/>
          <w:b w:val="false"/>
          <w:i w:val="false"/>
          <w:caps w:val="false"/>
          <w:smallCaps w:val="false"/>
          <w:sz w:val="20"/>
        </w:rPr>
        <w:t>” means a written notice delivered to the Agent by the Company in accordance with this Agreement in the form attached hereto as Exhibit A that is executed by its Chief Executive Officer, President or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 Date</w:t>
      </w:r>
      <w:r>
        <w:rPr>
          <w:rFonts w:ascii="Times New Roman;Times;Serif" w:hAnsi="Times New Roman;Times;Serif"/>
          <w:b w:val="false"/>
          <w:i w:val="false"/>
          <w:caps w:val="false"/>
          <w:smallCaps w:val="false"/>
          <w:sz w:val="20"/>
        </w:rPr>
        <w:t>” means any Trading Day during the Agency Period that an Issuance Notice is delivered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Price</w:t>
      </w:r>
      <w:r>
        <w:rPr>
          <w:rFonts w:ascii="Times New Roman;Times;Serif" w:hAnsi="Times New Roman;Times;Serif"/>
          <w:b w:val="false"/>
          <w:i w:val="false"/>
          <w:caps w:val="false"/>
          <w:smallCaps w:val="false"/>
          <w:sz w:val="20"/>
        </w:rPr>
        <w:t>” means the Sales Price less the Selling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Interim Prospectus Supplement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w:t>
      </w:r>
      <w:r>
        <w:rPr>
          <w:rFonts w:ascii="Times New Roman;Times;Serif" w:hAnsi="Times New Roman;Times;Serif"/>
          <w:b w:val="false"/>
          <w:i w:val="false"/>
          <w:caps w:val="false"/>
          <w:smallCaps w:val="false"/>
          <w:sz w:val="20"/>
        </w:rPr>
        <w:t>” means, collectively, the Company’s and its subsidiaries’ information technology assets and equipment, computers, systems, networks, hardware, software, websites, applications, and databases.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Program Amount</w:t>
      </w:r>
      <w:r>
        <w:rPr>
          <w:rFonts w:ascii="Times New Roman;Times;Serif" w:hAnsi="Times New Roman;Times;Serif"/>
          <w:b w:val="false"/>
          <w:i w:val="false"/>
          <w:caps w:val="false"/>
          <w:smallCaps w:val="false"/>
          <w:sz w:val="20"/>
        </w:rPr>
        <w:t>” means Ordinary Shares with an aggregate Sales Price of the least of (a) the number or dollar amount of Ordinary Shares registered under the effective Registration Statement (defined below) pursuant to which the offering is being made, (b) the number of authorized but unissued Ordinary Shares (less Ordinary Shares issuable upon exercise, conversion or exchange of any outstanding securities of the Company or otherwise reserved from the Company’s authorized capital stock), (c) the number or dollar amount of Ordinary Shares permitted to be sold under Form F-3 (including General Instruction I.B.5 thereof, if and so long as applicable), or (d) the number or dollar amount of Ordinary Shares for which the Company has filed a Prospectus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2(mm)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Office of Foreign Assets Control of the United States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Registration Statement</w:t>
      </w:r>
      <w:r>
        <w:rPr>
          <w:rFonts w:ascii="Times New Roman;Times;Serif" w:hAnsi="Times New Roman;Times;Serif"/>
          <w:b w:val="false"/>
          <w:i w:val="false"/>
          <w:caps w:val="false"/>
          <w:smallCaps w:val="false"/>
          <w:sz w:val="20"/>
        </w:rPr>
        <w:t>” as defined in Section 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means the Public Company Accounting Oversight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a corporation, partnership, limited liability company, trust, incorporated or unincorporated association, joint venture, joint stock company, governmental authority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2(rr)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 or such other national securities exchange on which the Ordinary Shares, including any Shares,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2(rr)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means Regulation M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Representation Date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102</w:t>
      </w:r>
      <w:r>
        <w:rPr>
          <w:rFonts w:ascii="Times New Roman;Times;Serif" w:hAnsi="Times New Roman;Times;Serif"/>
          <w:b w:val="false"/>
          <w:i w:val="false"/>
          <w:caps w:val="false"/>
          <w:smallCaps w:val="false"/>
          <w:sz w:val="20"/>
        </w:rPr>
        <w:t>” means Rule 102 of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t>” means the actual sale execution price of each Share placed by the Agent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2(nn)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Selling Commission</w:t>
      </w:r>
      <w:r>
        <w:rPr>
          <w:rFonts w:ascii="Times New Roman;Times;Serif" w:hAnsi="Times New Roman;Times;Serif"/>
          <w:b w:val="false"/>
          <w:i w:val="false"/>
          <w:caps w:val="false"/>
          <w:smallCaps w:val="false"/>
          <w:sz w:val="20"/>
        </w:rPr>
        <w:t>” means up to three percent (3.0%) of the gross proceeds of Shares sold pursuant to this Agreement, or as otherwise agreed between the Company and the Agent with respect to any Shares sold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means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(or sooner if cleared)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the Company’s Ordinary Shares issued or issuable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8(g)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Time of Sale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Time of Sale Information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Principal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Triggering Event Date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and agrees with, the Agent that as of (1) the date of this Agreement, (2) each Issuance Notice Date, (3) each Settlement Date, (4) each Triggering Event Date, and (5) each Time of Sale (each of the times referenced above is referred to herein as a “</w:t>
      </w:r>
      <w:r>
        <w:rPr>
          <w:rFonts w:ascii="Times New Roman;Times;Serif" w:hAnsi="Times New Roman;Times;Serif"/>
          <w:b/>
          <w:i w:val="false"/>
          <w:caps w:val="false"/>
          <w:smallCaps w:val="false"/>
          <w:sz w:val="20"/>
        </w:rPr>
        <w:t>Representation Date</w:t>
      </w:r>
      <w:r>
        <w:rPr>
          <w:rFonts w:ascii="Times New Roman;Times;Serif" w:hAnsi="Times New Roman;Times;Serif"/>
          <w:b w:val="false"/>
          <w:i w:val="false"/>
          <w:caps w:val="false"/>
          <w:smallCaps w:val="false"/>
          <w:sz w:val="20"/>
        </w:rPr>
        <w:t>”), except as may be disclosed in the Prospectus (including any documents incorporated by reference therein and any supplements thereto) on or before a Representation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or will file with the Commission a shelf registration statement on Form F-3 (File No. 333-294622) that contains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Such registration statement registers the issuance and sale by the Company of the Shares under the Securities Act. Except where the context otherwise requires, such registration statement, including any information deemed to be a part thereof pursuant to Rule 430B under the Securities Act, including all financial statements, exhibits and schedules thereto and all documents incorporated or deemed to be incorporated therein by reference pursuant to Item 6 of Form F-3 under the Securities Act as from time to time amended or supplemented, is herein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prospectus constituting a part of such registration statement, together with any prospectus supplement filed with the Commission pursuant to Rule 424(b) under the Securities Act relating to a particular issuance of the Shares, including all documents incorporated or deemed to be incorporated therein by reference pursuant to Item 6 of Form F-3 under the Securities Act, in each case, as from time to time amended or supplemented, is referred to herein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refer to such revised prospectus from and after the time it is first provided to the Agent for such use. The Registration Statement at the time it originally became effective is herein called the “</w:t>
      </w:r>
      <w:r>
        <w:rPr>
          <w:rFonts w:ascii="Times New Roman;Times;Serif" w:hAnsi="Times New Roman;Times;Serif"/>
          <w:b/>
          <w:i w:val="false"/>
          <w:caps w:val="false"/>
          <w:smallCaps w:val="false"/>
          <w:sz w:val="20"/>
        </w:rPr>
        <w:t>Original Registration Statement</w:t>
      </w:r>
      <w:r>
        <w:rPr>
          <w:rFonts w:ascii="Times New Roman;Times;Serif" w:hAnsi="Times New Roman;Times;Serif"/>
          <w:b w:val="false"/>
          <w:i w:val="false"/>
          <w:caps w:val="false"/>
          <w:smallCaps w:val="false"/>
          <w:sz w:val="20"/>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the Commission through the Commission’s EDGAR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Original Registration Statement was or will be declared effective and at the time the Company’s most recent Annual Report on Form 20-F was filed with the Commission, if later, the Company met the then-applicable requirements for use of Form F-3 under the Securities Act. During the Agency Period, each time the Company files an Annual Report on Form 20-F the Company will meet the then-applicable requirements for use of Form F-3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Original Registration Statement was declared effective by the Commission on March 30, 2026 and any Rule 462(b) Registration Statement will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when filed, as of the date hereof (if filed with the Commission on or prior to the date hereof), and at each Representation Date complied, complies or will comply in all material respects with the Securities Act and, if filed with the Commission through its EDGAR system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upon the effectiveness of any amendment thereto and at each Representation Date, complied, complies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Times;Serif" w:hAnsi="Times New Roman;Times;Serif"/>
          <w:b/>
          <w:i w:val="false"/>
          <w:caps w:val="false"/>
          <w:smallCaps w:val="false"/>
          <w:sz w:val="20"/>
        </w:rPr>
        <w:t>Time of Sale Information</w:t>
      </w:r>
      <w:r>
        <w:rPr>
          <w:rFonts w:ascii="Times New Roman;Times;Serif" w:hAnsi="Times New Roman;Times;Serif"/>
          <w:b w:val="false"/>
          <w:i w:val="false"/>
          <w:caps w:val="false"/>
          <w:smallCaps w:val="false"/>
          <w:sz w:val="20"/>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Ineligible Issuer Status</w:t>
      </w:r>
      <w:r>
        <w:rPr>
          <w:rFonts w:ascii="Times New Roman;Times;Serif" w:hAnsi="Times New Roman;Times;Serif"/>
          <w:b w:val="false"/>
          <w:i w:val="false"/>
          <w:caps w:val="false"/>
          <w:smallCaps w:val="false"/>
          <w:sz w:val="20"/>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and the Prospectus, at the time they were filed with the Commission and at each Representation Date, complied, complies or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The documents incorporated or deemed to be incorporated by reference in the Prospectus, at the time they were or hereafter are filed with the Commission and at each Representation Date, and any Free Writing Prospectus or amendment or supplement thereto complied, complies and will comply in all material respects with the requirements of the Exchange Act, and, when read together with the other information in the Prospectus, at the time the Registration Statement and any amendments thereto become effective and at each Representation Date,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Disclosure Controls and Procedures; Deficiencies in or Changes to Internal Control Over Financial Reporting</w:t>
      </w:r>
      <w:r>
        <w:rPr>
          <w:rFonts w:ascii="Times New Roman;Times;Serif" w:hAnsi="Times New Roman;Times;Serif"/>
          <w:b w:val="false"/>
          <w:i w:val="false"/>
          <w:caps w:val="false"/>
          <w:smallCaps w:val="false"/>
          <w:sz w:val="20"/>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period for which financial statements have been filed with the Commission;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period for which financial statements have been filed with the Commission that has materially affected, or is reasonably likely to materially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This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Except as disclosed in the Registration Statement or the Prospectus,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otherwise disclosed in the Registration Statement and the Prospectus, subsequent to the respective dates as of which information is given in the Registration Statement and the Prospectus: (i) there has been no material adverse change, or any development that could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except for any change, effect, event, occurrence, state of facts or development relating to (1) the economy or financial markets in general, (2) the industry in which the Company operates, (3) changes in applicable law or accounting rules, or (4) any outbreak or escalation of hostilities or acts of terrorism, in each case, that does not disproportionately affect the Company and its subsidiaries);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Enrome LLP or such other accountant (the “</w:t>
      </w:r>
      <w:r>
        <w:rPr>
          <w:rFonts w:ascii="Times New Roman;Times;Serif" w:hAnsi="Times New Roman;Times;Serif"/>
          <w:b/>
          <w:i w:val="false"/>
          <w:caps w:val="false"/>
          <w:smallCaps w:val="false"/>
          <w:sz w:val="20"/>
        </w:rPr>
        <w:t>Accountants</w:t>
      </w:r>
      <w:r>
        <w:rPr>
          <w:rFonts w:ascii="Times New Roman;Times;Serif" w:hAnsi="Times New Roman;Times;Serif"/>
          <w:b w:val="false"/>
          <w:i w:val="false"/>
          <w:caps w:val="false"/>
          <w:smallCaps w:val="false"/>
          <w:sz w:val="20"/>
        </w:rPr>
        <w:t>”), which has expressed its opinion with respect to the financial statements (which term as used in this Agreement includes the related notes thereto) filed with the Commission incorporated by reference into the Registration Statement and the Prospectus, is (i) an independent registered public accounting firm as required by the Securities Act, the Exchange Act, and the rules of the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fairly present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Times New Roman;Times;Serif" w:hAnsi="Times New Roman;Times;Serif"/>
          <w:b w:val="false"/>
          <w:i/>
          <w:caps w:val="false"/>
          <w:smallCaps w:val="false"/>
          <w:sz w:val="20"/>
        </w:rPr>
        <w:t>Off-Balance Sheet Transaction”</w:t>
      </w:r>
      <w:r>
        <w:rPr>
          <w:rFonts w:ascii="Times New Roman;Times;Serif" w:hAnsi="Times New Roman;Times;Serif"/>
          <w:b w:val="false"/>
          <w:i w:val="false"/>
          <w:caps w:val="false"/>
          <w:smallCaps w:val="false"/>
          <w:sz w:val="20"/>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Company’s Accounting System</w:t>
      </w:r>
      <w:r>
        <w:rPr>
          <w:rFonts w:ascii="Times New Roman;Times;Serif" w:hAnsi="Times New Roman;Times;Serif"/>
          <w:b w:val="false"/>
          <w:i w:val="false"/>
          <w:caps w:val="false"/>
          <w:smallCaps w:val="false"/>
          <w:sz w:val="20"/>
        </w:rPr>
        <w:t>. The Company and each of its subsidiaries make and keep accurate books and records that are accurate in all material respects and maintain a system of internal accounting controls designed to, and which the Company believes is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Organization and Good Standing of the Company</w:t>
      </w:r>
      <w:r>
        <w:rPr>
          <w:rFonts w:ascii="Times New Roman;Times;Serif" w:hAnsi="Times New Roman;Times;Serif"/>
          <w:b w:val="false"/>
          <w:i w:val="false"/>
          <w:caps w:val="false"/>
          <w:smallCaps w:val="false"/>
          <w:sz w:val="20"/>
        </w:rPr>
        <w:t>. The Company has been duly organized and is validly existing and in good standing under the laws of the jurisdiction of its organization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business organization to transact business and is in good standing in each jurisdiction in which such qualification is required, whether by reason of the ownership or leasing of property or the conduct of business, except where the failure to be so qualified or in good standing or to have such power or authority would not reasonably be expected, individually or in the aggregate,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(where such concept is recognized)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limited liability company or other business organization, as applicable, to transact business and is in good standing (where such concept is recognized) in each jurisdiction in which such qualification is required, whether by reason of the ownership or leasing of property or the conduct of business, except where the failure to be so qualified or in good standing or to have such power or authority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of the Company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that are either (i) disclosed in the Registration Statement and the Prospectus or (ii) listed in Exhibit 8.1 to the Company’s most recent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Capitalization and Other Capital Stock Matters</w:t>
      </w:r>
      <w:r>
        <w:rPr>
          <w:rFonts w:ascii="Times New Roman;Times;Serif" w:hAnsi="Times New Roman;Times;Serif"/>
          <w:b w:val="false"/>
          <w:i w:val="false"/>
          <w:caps w:val="false"/>
          <w:smallCaps w:val="false"/>
          <w:sz w:val="20"/>
        </w:rPr>
        <w:t>. The authorized, issued and outstanding share capital of the Company is as set forth in the Registration Statement and the Prospectus (other than for subsequent issuances, if any, pursuant to employee benefit plans or upon the exercise of outstanding options or warrants, in each case described in the Registration Statement and the Prospectus). The Ordinary Shares (including the Shares) conform in all material respects to the description thereof contained in the Prospectus. All of the issued and outstanding Ordinary Shares have been duly authorized and validly issued, are fully paid and nonassessable and have been issued in compliance with all applicable federal and state securities laws. None of the outstanding Ordinary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share option, share bonus and other share plans or arrangements, and the options or other rights granted thereunder, set forth in the Registration Statement and the Prospectus accurately and fairly presents the information required to be shown with respect to such plans, arrangements, options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Ordinary Shares are registered pursuant to Section 12(b) or 12(g) of the Exchange Act and are listed on the Principal Market, and the Company has taken no action designed to, or likely to have the effect of, terminating the registration of the Ordinary Shares under the Exchange Act or delisting the Ordinary Shares from the Principal Market, nor, except as set forth in the Registration Statement and the Prospectus and the documents incorporated or deemed to be incorporated by reference in the Registration Statement and the Prospectus has the Company received any notification that the Commission or the Principal Market is contemplating terminating such registration or listing. To the Company’s knowledge, it is in compliance with all applicable listing requirements of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Non-Contravention of Existing Instruments; No Further Authorizations or Approvals Required</w:t>
      </w:r>
      <w:r>
        <w:rPr>
          <w:rFonts w:ascii="Times New Roman;Times;Serif" w:hAnsi="Times New Roman;Times;Serif"/>
          <w:b w:val="false"/>
          <w:i w:val="false"/>
          <w:caps w:val="false"/>
          <w:smallCaps w:val="false"/>
          <w:sz w:val="20"/>
        </w:rPr>
        <w:t>. Neither the Company nor any of its subsidiaries is in violation of its charter or by laws, partnership agreement or operating agreement or similar organizational documents, as applicable, or is in default (or, with the giving of notice or lapse of time, would be in default)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Times;Serif" w:hAnsi="Times New Roman;Times;Serif"/>
          <w:b/>
          <w:i w:val="false"/>
          <w:caps w:val="false"/>
          <w:smallCaps w:val="false"/>
          <w:sz w:val="20"/>
        </w:rPr>
        <w:t>Existing Instrument</w:t>
      </w:r>
      <w:r>
        <w:rPr>
          <w:rFonts w:ascii="Times New Roman;Times;Serif" w:hAnsi="Times New Roman;Times;Serif"/>
          <w:b w:val="false"/>
          <w:i w:val="false"/>
          <w:caps w:val="false"/>
          <w:smallCaps w:val="false"/>
          <w:sz w:val="20"/>
        </w:rPr>
        <w:t>”), except for such Defaults as could not be reasonably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(i) have been duly authorized by all necessary corporate action and will not result in any violation of the provisions of the charter or by 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could not be reasonably expected, individually or in the aggregate, to result in a Material Adverse Change; and (iii) will not result in any violation of any law, administrative regulation or administrative or court decree applicable to the Company or any of its subsidiaries, except where such violation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Except as otherwise disclosed in the Prospectus, there is no action, suit, proceeding, inquiry or investigation brought by or before any legal or governmental entity now pending or, to the knowledge of the Company, threatened, against or affecting the Company or any of its subsidiaries, which could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and to the Company’s knowledge, the conduct of their respective businesses currently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except as would not reasonably be expected, individually or in the aggregate, to result in a Material Adverse Change: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owned by or exclusively licensed to the Company or any of its subsidiaries.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in all material respects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to the knowledge of the Company,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in all material respects. None of the Company owned Intellectual Property or technology (including information technology and outsourced arrangements) employed by the Company or its subsidiaries has been obtained or is being used by the Company or its subsidiaries in violation in any material respect of any contractual obligation binding on the Company or its subsidiaries or any of their respective officers, directors or employees or otherwise in violation of the rights of any persons in any material respect. The systems, products and methods described in the Registration Statement and the Prospectus as under development by the Company or any subsidiary fall within the scope of the claims of one or more patents or patent applications owned by, or exclusively licensed to,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Except as otherwise disclosed in the Registration Statement or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(collectively,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except where the failure to possess the same or so qualify would not reasonably be expected, individually or in the aggregate, to result in a Material Adverse Change. Neither the Company nor any of its subsidiaries is in violation of, or in default under, any of the Permits or has received any notice of proceedings relating to the revocation or modification of, or non-compliance with the Permits, except for such violations, defaults or proceedings which, if resolved unfavorably, would not reasonably be expected, individually or in the aggregate,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xml:space="preserve">. Except as otherwise disclosed in the Registration Statement or the Prospectus, the Company and its subsidiaries have good and marketable title to all of the real and personal property and other assets reflected as owned in the financial statements referred to in </w:t>
      </w:r>
      <w:r>
        <w:rPr>
          <w:rFonts w:ascii="Times New Roman;Times;Serif" w:hAnsi="Times New Roman;Times;Serif"/>
          <w:b w:val="false"/>
          <w:i w:val="false"/>
          <w:caps w:val="false"/>
          <w:smallCaps w:val="false"/>
          <w:sz w:val="20"/>
          <w:u w:val="single"/>
        </w:rPr>
        <w:t>‎Section 2(m)</w:t>
      </w:r>
      <w:r>
        <w:rPr>
          <w:rFonts w:ascii="Times New Roman;Times;Serif" w:hAnsi="Times New Roman;Times;Serif"/>
          <w:b w:val="false"/>
          <w:i w:val="false"/>
          <w:caps w:val="false"/>
          <w:smallCaps w:val="false"/>
          <w:sz w:val="20"/>
        </w:rPr>
        <w:t xml:space="preserve"> above (or elsewhere in the Registration Statement or the Prospectus, in each case free and clear of any security interests, mortgages, liens, encumbrances, equities, adverse claims and other defects, except as would not reasonably be expected, individually or in the aggregate, to materially affect the value of such property or materially interfere with the use thereof.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The Company and its subsidiaries have filed all necessary federal, state, local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and except to the extent that failure to file or pay could not reasonably be expected to results in a Material Adverse Change. The Company has made adequate charges, accruals and reserves in the applicable financial statements referred to in ‎</w:t>
      </w:r>
      <w:r>
        <w:rPr>
          <w:rFonts w:ascii="Times New Roman;Times;Serif" w:hAnsi="Times New Roman;Times;Serif"/>
          <w:b w:val="false"/>
          <w:i w:val="false"/>
          <w:caps w:val="false"/>
          <w:smallCaps w:val="false"/>
          <w:sz w:val="20"/>
          <w:u w:val="single"/>
        </w:rPr>
        <w:t>Section 2(m)</w:t>
      </w:r>
      <w:r>
        <w:rPr>
          <w:rFonts w:ascii="Times New Roman;Times;Serif" w:hAnsi="Times New Roman;Times;Serif"/>
          <w:b w:val="false"/>
          <w:i w:val="false"/>
          <w:caps w:val="false"/>
          <w:smallCaps w:val="false"/>
          <w:sz w:val="20"/>
        </w:rPr>
        <w:t xml:space="preserve"> above in respect of all federal, state, local and foreign income and franchise taxes for all periods as to which the tax liability of the Company or any of its subsidiaries has not been finally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otherwise disclosed in the Registration Statement or the Prospectus, certain of the Company and its subsidiaries are insured by recognized, financially sound and reputable institutions with policies in such amounts and with such deductibles and covering such risks as are generally deemed adequate and customary, in the reasonable judgment of the Company’s board of directors and management,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reasonably expected, individually or in the aggregate, to result in a Material Adverse Change. Neither the Company nor any of its subsidiaries has been denied any insurance coverage which it has sought or for which it has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Price Stabilization or Manipulation; Compliance with Regulation M</w:t>
      </w:r>
      <w:r>
        <w:rPr>
          <w:rFonts w:ascii="Times New Roman;Times;Serif" w:hAnsi="Times New Roman;Times;Serif"/>
          <w:b w:val="false"/>
          <w:i w:val="false"/>
          <w:caps w:val="false"/>
          <w:smallCaps w:val="false"/>
          <w:sz w:val="20"/>
        </w:rPr>
        <w:t>. Neither the Company nor any of its subsidiaries has taken, directly or indirectly, any action designed to or that would reasonably be expected to cause or result in stabilization or manipulation of the price of the Ordinary Shares or of any “reference security” (as defined in Rule 100 of Regulation M) with respect to the Ordinary Shares, whether to facilitate the sale or resale of the Shares or otherwise, and has taken no action which would directly or indirectly violate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related-party transactions involving the Company or any of its subsidiaries or any other person required to be described in, or incorporated by reference into, the Registration Statement or the Prospectus that have not been so described or incorporated by reference,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is true, complete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Except as otherwise disclosed in the Registration Statement or the Prospectus, neither the Company nor any of its subsidiaries nor, to the Company’s knowledge, any employee or agent of the Company or any subsidiary of the Company, has made any contribution or other payment to any official of, or candidate for, any federal, state or foreign office in violation of any law or of the character required to be disclosed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Except as described in the Registration Statement or the Prospectus and except as could not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Periodic Review of Costs of Environmental Compliance</w:t>
      </w:r>
      <w:r>
        <w:rPr>
          <w:rFonts w:ascii="Times New Roman;Times;Serif" w:hAnsi="Times New Roman;Times;Serif"/>
          <w:b w:val="false"/>
          <w:i w:val="false"/>
          <w:caps w:val="false"/>
          <w:smallCaps w:val="false"/>
          <w:sz w:val="20"/>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Except as otherwise disclosed in the Registration Statement or the Prospectus, the Company and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established or maintained by the Company, its subsidiaries, or to the Company’s knowledge, their ERISA Affiliates are in compliance in all material respects with ERISA.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reasonably be expected to cause the loss of such qualification.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as otherwise disclosed in the Registration Statement or the Prospectus,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Outstanding Loans or Other Extensions of Credit</w:t>
      </w:r>
      <w:r>
        <w:rPr>
          <w:rFonts w:ascii="Times New Roman;Times;Serif" w:hAnsi="Times New Roman;Times;Serif"/>
          <w:b w:val="false"/>
          <w:i w:val="false"/>
          <w:caps w:val="false"/>
          <w:smallCaps w:val="false"/>
          <w:sz w:val="20"/>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its subsidiaries have been and are in compliance with all applicable laws, rules and regulations, except where failure to be so in compliance could not be expected, individually or in the aggregate,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Dividend Restrictions</w:t>
      </w:r>
      <w:r>
        <w:rPr>
          <w:rFonts w:ascii="Times New Roman;Times;Serif" w:hAnsi="Times New Roman;Times;Serif"/>
          <w:b w:val="false"/>
          <w:i w:val="false"/>
          <w:caps w:val="false"/>
          <w:smallCaps w:val="false"/>
          <w:sz w:val="20"/>
        </w:rPr>
        <w:t>. Except as disclosed in the Registration Statement or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Anti-Corruption and Anti-Bribery Laws</w:t>
      </w:r>
      <w:r>
        <w:rPr>
          <w:rFonts w:ascii="Times New Roman;Times;Serif" w:hAnsi="Times New Roman;Times;Serif"/>
          <w:b w:val="false"/>
          <w:i w:val="false"/>
          <w:caps w:val="false"/>
          <w:smallCaps w:val="false"/>
          <w:sz w:val="20"/>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FCPA,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OFAC or the U.S. Department of State, the United Nations Security Council, the European Union, His Majesty’s Treasury of the United Kingdom,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the target of Sanctions, including, without limitation, Crimea, Cuba, the so-called Donetsk People’s Republic, Iran, the so-called Luhansk People’s Republic and North Korea;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 Company is in compliance, in all material respects, with all applicable provisions of the Sarbanes-Oxley Act of 2002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Duties, Transfer Taxes, Etc</w:t>
      </w:r>
      <w:r>
        <w:rPr>
          <w:rFonts w:ascii="Times New Roman;Times;Serif" w:hAnsi="Times New Roman;Times;Serif"/>
          <w:b w:val="false"/>
          <w:i w:val="false"/>
          <w:caps w:val="false"/>
          <w:smallCaps w:val="false"/>
          <w:sz w:val="20"/>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Company’s and its subsidiaries’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except as would not reasonably be expected, individually or in the aggregate, to result in a Material Adverse Change.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Stabilization</w:t>
      </w:r>
      <w:r>
        <w:rPr>
          <w:rFonts w:ascii="Times New Roman;Times;Serif" w:hAnsi="Times New Roman;Times;Serif"/>
          <w:b w:val="false"/>
          <w:i w:val="false"/>
          <w:caps w:val="false"/>
          <w:smallCaps w:val="false"/>
          <w:sz w:val="20"/>
        </w:rPr>
        <w:t>. The Company has not, and to its knowledge no one acting on its behalf has, (a) taken, directly or indirectly, any action designed to cause or to result in the stabilization or manipulation of the price of any security of the Company to facilitate the sale or resale of any of the Shares, (b) sold, bid for, purchased, or paid any compensation for soliciting purchases of, any of the Shares or (c) paid or agreed to pay to any person any compensation for soliciting another to purchase any other securities of the Company, other than, in the case of clauses (b) and (c), compensation paid to the Agent in connection with the 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Agent Exclusivity</w:t>
      </w:r>
      <w:r>
        <w:rPr>
          <w:rFonts w:ascii="Times New Roman;Times;Serif" w:hAnsi="Times New Roman;Times;Serif"/>
          <w:b w:val="false"/>
          <w:i w:val="false"/>
          <w:caps w:val="false"/>
          <w:smallCaps w:val="false"/>
          <w:sz w:val="20"/>
        </w:rPr>
        <w:t>. Other than the Agent or any of its designees, no person or entity has the right to act as a placement agent, underwriter or as a financial advisor in connection with the sale of the Shares contemplated hereby, and the Company is not a party to any agreement with an agent or underwriter for any other “at the market” offering or continuous equity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val="false"/>
          <w:caps w:val="false"/>
          <w:smallCaps w:val="false"/>
          <w:sz w:val="20"/>
          <w:u w:val="single"/>
        </w:rPr>
        <w:t>Shareholder Approvals</w:t>
      </w:r>
      <w:r>
        <w:rPr>
          <w:rFonts w:ascii="Times New Roman;Times;Serif" w:hAnsi="Times New Roman;Times;Serif"/>
          <w:b w:val="false"/>
          <w:i w:val="false"/>
          <w:caps w:val="false"/>
          <w:smallCaps w:val="false"/>
          <w:sz w:val="20"/>
        </w:rPr>
        <w:t>. To the Company’s knowledge, none of the Company, its Subsidiaries, or any of their respective affiliates, nor any person or entity acting on their behalf (excluding the Agent and any of its other designees, as applicable) has, directly or indirectly, made any offers or sales of any security or solicited any offers to buy any security, under circumstances that would cause the transactions contemplated by this Agreement to require approval of shareholders of the Company under any applicable shareholder approval provisions, including, without limitation, under the rules and regulations of the Principal Market. None of the Company, its Subsidiaries, their affiliates nor any person or entity acting on their behalf will take any action or steps that would cause the offering of any of the Shares to be integrated with other offerings of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Pending Proceedings</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Securities Act, and the Company is not the subject of a pending proceeding under Section 8A of the Securities Act in connection with the offering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val="false"/>
          <w:i w:val="false"/>
          <w:caps w:val="false"/>
          <w:smallCaps w:val="false"/>
          <w:sz w:val="20"/>
          <w:u w:val="single"/>
        </w:rPr>
        <w:t>Immunity</w:t>
      </w:r>
      <w:r>
        <w:rPr>
          <w:rFonts w:ascii="Times New Roman;Times;Serif" w:hAnsi="Times New Roman;Times;Serif"/>
          <w:b w:val="false"/>
          <w:i w:val="false"/>
          <w:caps w:val="false"/>
          <w:smallCaps w:val="false"/>
          <w:sz w:val="20"/>
        </w:rPr>
        <w:t>. Neither the Company nor any Subsidiary or any of their respective properties or assets has any immunity from the jurisdiction of any court or from any legal process (whether through service or notice, attachment prior to judgment, attachment in aid of execution or otherwise) under the laws of the United States or any political subdivisions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val="false"/>
          <w:i w:val="false"/>
          <w:caps w:val="false"/>
          <w:smallCaps w:val="false"/>
          <w:sz w:val="20"/>
          <w:u w:val="single"/>
        </w:rPr>
        <w:t>Passive Foreign Investment Company Status</w:t>
      </w:r>
      <w:r>
        <w:rPr>
          <w:rFonts w:ascii="Times New Roman;Times;Serif" w:hAnsi="Times New Roman;Times;Serif"/>
          <w:b w:val="false"/>
          <w:i w:val="false"/>
          <w:caps w:val="false"/>
          <w:smallCaps w:val="false"/>
          <w:sz w:val="20"/>
        </w:rPr>
        <w:t>. The Company did not qualify as a “passive foreign investment company” within the meaning of Section 1297 of the Code, for its most recently completed taxable year,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Each “forward-looking statement” (within the meaning of Section 27A of the Securities Act or Section 21E of the Exchange Act) contained in the Registration Statement and the Prospectus has been made or reaffirmed with a reasonable basis and has been disclosed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that the Agent and, for purposes of the opinions to be delivered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hereof, counsel to the Company and counsel to the Agent, will rely upon the accuracy and truthfulness of the foregoing representations and hereby consents to such reliance.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ISSUANCE AND SALE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Sale of Securities</w:t>
      </w:r>
      <w:r>
        <w:rPr>
          <w:rFonts w:ascii="Times New Roman;Times;Serif" w:hAnsi="Times New Roman;Times;Serif"/>
          <w:b w:val="false"/>
          <w:i w:val="false"/>
          <w:caps w:val="false"/>
          <w:smallCaps w:val="false"/>
          <w:sz w:val="20"/>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Mechanics of Issuances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Upon the terms and subject to the conditions set forth herein, on any Trading Day during the Agency Period on which the conditions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shall have been satisfied, the Company may exercise its right to request an issuance of Shares by delivering to the Agent an Issuance Notice; provided, however,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 two (2) business day prior written notice to the Company, the Agent, may modify the list of such persons from time to time.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shall the Company cause or request the offer or sale of any Shares pursuant to this Agreement at a price lower than the minimum price authorized from time to time by the Company’s board of directors, a duly authorized committee thereof or a duly authorized executive committee and notified to the Agent in writing. Notwithstanding anything to the contrary contained herein, the parties hereto acknowledge and agree that compliance with the limitations set forth in this Section 3(b) on the number or dollar amount of Shares that may be issued and sold under this Agreement from time to time shall be the sole responsibility of the Company, and that the Agent shall have no obligation in connection with such compliance.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Agent Efforts</w:t>
      </w:r>
      <w:r>
        <w:rPr>
          <w:rFonts w:ascii="Times New Roman;Times;Serif" w:hAnsi="Times New Roman;Times;Serif"/>
          <w:b w:val="false"/>
          <w:i w:val="false"/>
          <w:caps w:val="false"/>
          <w:smallCaps w:val="false"/>
          <w:sz w:val="20"/>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Method of Offer and Sale</w:t>
      </w:r>
      <w:r>
        <w:rPr>
          <w:rFonts w:ascii="Times New Roman;Times;Serif" w:hAnsi="Times New Roman;Times;Serif"/>
          <w:b w:val="false"/>
          <w:i w:val="false"/>
          <w:caps w:val="false"/>
          <w:smallCaps w:val="false"/>
          <w:sz w:val="20"/>
        </w:rPr>
        <w:t>. The Shares may be offered and sold by (A) in negotiated transactions with the consent of the Company or (B) any other method permitted by law deemed to be an “</w:t>
      </w:r>
      <w:r>
        <w:rPr>
          <w:rFonts w:ascii="Times New Roman;Times;Serif" w:hAnsi="Times New Roman;Times;Serif"/>
          <w:b/>
          <w:i w:val="false"/>
          <w:caps w:val="false"/>
          <w:smallCaps w:val="false"/>
          <w:sz w:val="20"/>
        </w:rPr>
        <w:t>at the market offering</w:t>
      </w:r>
      <w:r>
        <w:rPr>
          <w:rFonts w:ascii="Times New Roman;Times;Serif" w:hAnsi="Times New Roman;Times;Serif"/>
          <w:b w:val="false"/>
          <w:i w:val="false"/>
          <w:caps w:val="false"/>
          <w:smallCaps w:val="false"/>
          <w:sz w:val="20"/>
        </w:rPr>
        <w:t>” as defined in Rule 415(a)(4) under the Securities Act, including block trade transactions, sales made directly on the Principal Market or sales made into any other existing trading market of the Ordinary Shares. Nothing in this Agreement shall be deemed to require either party to agree to the method of offer and sale specified in the preceding sentence, and (except as specified in clause (A) above) the method of placement of any Shares by the Agent shall be at the Agent’s discretion, subject to the Company’s instructions in the Issuance Notice.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Confirmation to the Company</w:t>
      </w:r>
      <w:r>
        <w:rPr>
          <w:rFonts w:ascii="Times New Roman;Times;Serif" w:hAnsi="Times New Roman;Times;Serif"/>
          <w:b w:val="false"/>
          <w:i w:val="false"/>
          <w:caps w:val="false"/>
          <w:smallCaps w:val="false"/>
          <w:sz w:val="20"/>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Each issuance of Shares will be settled on the applicable Settlement Date for such issuance of Shares and, subject to the provisions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Times;Serif" w:hAnsi="Times New Roman;Times;Serif"/>
          <w:b/>
          <w:i w:val="false"/>
          <w:caps w:val="false"/>
          <w:smallCaps w:val="false"/>
          <w:sz w:val="20"/>
        </w:rPr>
        <w:t>Time of Sale</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Suspension or Termination of Sales</w:t>
      </w:r>
      <w:r>
        <w:rPr>
          <w:rFonts w:ascii="Times New Roman;Times;Serif" w:hAnsi="Times New Roman;Times;Serif"/>
          <w:b w:val="false"/>
          <w:i w:val="false"/>
          <w:caps w:val="false"/>
          <w:smallCaps w:val="false"/>
          <w:sz w:val="20"/>
        </w:rPr>
        <w:t>.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Ordinary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fail at any Settlement Date to sell and deliver the number of Shares which it is obligated to sell hereunder, then the Company shall have five (5) business days to cure such default and deliver such Shares. No action taken pursuant to this Section </w:t>
      </w:r>
      <w:r>
        <w:rPr>
          <w:rFonts w:ascii="Times New Roman;Times;Serif" w:hAnsi="Times New Roman;Times;Serif"/>
          <w:b w:val="false"/>
          <w:i w:val="false"/>
          <w:caps w:val="false"/>
          <w:smallCaps w:val="false"/>
          <w:sz w:val="20"/>
          <w:u w:val="single"/>
        </w:rPr>
        <w:t>3(b)(vi)</w:t>
      </w:r>
      <w:r>
        <w:rPr>
          <w:rFonts w:ascii="Times New Roman;Times;Serif" w:hAnsi="Times New Roman;Times;Serif"/>
          <w:b w:val="false"/>
          <w:i w:val="false"/>
          <w:caps w:val="false"/>
          <w:smallCaps w:val="false"/>
          <w:sz w:val="20"/>
        </w:rPr>
        <w:t> shall relieve the Company from liability, if any, in respect of such default, and the Company shall (A) hold the Agent or any of its designees harmless against any loss, claim or damage arising from or as a result of such default by the Company and (B) pay the Agent any commission to which it would otherwise be entitled absent such default.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No Guarantee of Placement, Etc</w:t>
      </w:r>
      <w:r>
        <w:rPr>
          <w:rFonts w:ascii="Times New Roman;Times;Serif" w:hAnsi="Times New Roman;Times;Serif"/>
          <w:b w:val="false"/>
          <w:i w:val="false"/>
          <w:caps w:val="false"/>
          <w:smallCaps w:val="false"/>
          <w:sz w:val="20"/>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Agent Exclusivity</w:t>
      </w:r>
      <w:r>
        <w:rPr>
          <w:rFonts w:ascii="Times New Roman;Times;Serif" w:hAnsi="Times New Roman;Times;Serif"/>
          <w:b w:val="false"/>
          <w:i w:val="false"/>
          <w:caps w:val="false"/>
          <w:smallCaps w:val="false"/>
          <w:sz w:val="20"/>
        </w:rPr>
        <w:t>. For purposes of selling the Shares through the Agent, the Company hereby appoints the Agent as exclusive agent of the Company for the purpose of soliciting purchases of the Shares from the Company pursuant to this Agreement and the Agent agrees to use its commercially reasonable efforts to sell the Shares on the terms and subject to the conditions stated herein.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Relationship</w:t>
      </w:r>
      <w:r>
        <w:rPr>
          <w:rFonts w:ascii="Times New Roman;Times;Serif" w:hAnsi="Times New Roman;Times;Serif"/>
          <w:b w:val="false"/>
          <w:i w:val="false"/>
          <w:caps w:val="false"/>
          <w:smallCaps w:val="false"/>
          <w:sz w:val="20"/>
        </w:rPr>
        <w:t>. Nothing herein contained shall constitute the Agent or any of its designees as an unincorporated association or partner with the Company. Under no circumstances shall any Shares be sold pursuant to this Agreement after the date which is three years after the Registration Statement is first declared effective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Times;Serif" w:hAnsi="Times New Roman;Times;Serif"/>
          <w:b w:val="false"/>
          <w:i w:val="false"/>
          <w:caps w:val="false"/>
          <w:smallCaps w:val="false"/>
          <w:sz w:val="20"/>
          <w:u w:val="single"/>
        </w:rPr>
        <w:t>Section 3(b)(vi)</w:t>
      </w:r>
      <w:r>
        <w:rPr>
          <w:rFonts w:ascii="Times New Roman;Times;Serif" w:hAnsi="Times New Roman;Times;Serif"/>
          <w:b w:val="false"/>
          <w:i w:val="false"/>
          <w:caps w:val="false"/>
          <w:smallCaps w:val="false"/>
          <w:sz w:val="20"/>
        </w:rPr>
        <w:t>) by the Agent deducting the Selling Commission from the applicable Issuance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whether or not the transactions contemplated hereunder are consummated or this Agreement is terminated, will pay or cause to be paid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legal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Times;Serif" w:hAnsi="Times New Roman;Times;Serif"/>
          <w:b/>
          <w:i w:val="false"/>
          <w:caps w:val="false"/>
          <w:smallCaps w:val="false"/>
          <w:sz w:val="20"/>
        </w:rPr>
        <w:t>Blue Sky Survey</w:t>
      </w:r>
      <w:r>
        <w:rPr>
          <w:rFonts w:ascii="Times New Roman;Times;Serif" w:hAnsi="Times New Roman;Times;Serif"/>
          <w:b w:val="false"/>
          <w:i w:val="false"/>
          <w:caps w:val="false"/>
          <w:smallCaps w:val="false"/>
          <w:sz w:val="20"/>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legal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the Agent’s legal counsel pursuant to subsections (vi) and (vii) above shall not exceed: (A) $50,000 in connection with the initiation of sales hereunder and the filing of the Prospectus for the offering of the Shares; and (B) $2,500 in connection with each other Triggering Event Date (as defined below) on which the Company is required to provide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ADDITIONAL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the Agent as follows, in addition to any other covenants and agreements made elsewhere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During the Agency Period, the Company shall (i) file, on a timely basis, with the Commission all reports and documents required to be filed under Section 13, 14 or 15 of the Exchange Act in the manner and within the time periods required by the Exchange Act; and (i) either, in the Company’s sole discretion: (A) include in any Form 6-K containing financial statements furnished with the Commission and its Annual Reports on Form 20-F,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Times;Serif" w:hAnsi="Times New Roman;Times;Serif"/>
          <w:b/>
          <w:i w:val="false"/>
          <w:caps w:val="false"/>
          <w:smallCaps w:val="false"/>
          <w:sz w:val="20"/>
        </w:rPr>
        <w:t>Interim Prospectus Supplement</w:t>
      </w:r>
      <w:r>
        <w:rPr>
          <w:rFonts w:ascii="Times New Roman;Times;Serif" w:hAnsi="Times New Roman;Times;Serif"/>
          <w:b w:val="false"/>
          <w:i w:val="false"/>
          <w:caps w:val="false"/>
          <w:smallCaps w:val="false"/>
          <w:sz w:val="20"/>
        </w:rPr>
        <w:t xml:space="preserve">”), such summary information and, at least twice a year and subject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file such Interim Prospectus Supplement pursuant to Rule 424(b) under the Securities Act (and within the time periods required by Rule 424(b) and Rule 430B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Securities Act Compliance</w:t>
      </w:r>
      <w:r>
        <w:rPr>
          <w:rFonts w:ascii="Times New Roman;Times;Serif" w:hAnsi="Times New Roman;Times;Serif"/>
          <w:b w:val="false"/>
          <w:i w:val="false"/>
          <w:caps w:val="false"/>
          <w:smallCaps w:val="false"/>
          <w:sz w:val="20"/>
        </w:rPr>
        <w:t>. After the date of this Agreement, the Company shall promptly advise the Agent in writing: (i) of the receipt of any comments of, or requests for additional or supplemental information from, the Commission relating to the Registration Statement or the Prospectus;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Ordinary Shares from any securities exchange upon which they are listed for trading or included or designated for quotation, or of the threatening or initiation of any proceedings for any of such purposes. If the Commission shall enter any such stop order at any time, the Company will use commercially reasonable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4(f)</w:t>
      </w:r>
      <w:r>
        <w:rPr>
          <w:rFonts w:ascii="Times New Roman;Times;Serif" w:hAnsi="Times New Roman;Times;Serif"/>
          <w:b w:val="false"/>
          <w:i w:val="false"/>
          <w:caps w:val="false"/>
          <w:smallCaps w:val="false"/>
          <w:sz w:val="20"/>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only remedy the Agent shall have with respect to the failure by the Company to make such filing (other than the Agent’s rights under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shall be to cease making sales under this Agreement until such amendment or supplement is filed;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failure of the Company to file such amendment or supplement request shall not relieve the Company of any obligation or liability under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or affect the Agent’s right to rely on the representations and warranties made by the Company in this Agreement. Notwithstanding the foregoing, the Company shall not be required to file such amendment or supplement if there is no pending Issuance Notice and the Company believes that it is in its best interest not to file such amendment or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Agent’s Review of Proposed Amendments and Supplements</w:t>
      </w:r>
      <w:r>
        <w:rPr>
          <w:rFonts w:ascii="Times New Roman;Times;Serif" w:hAnsi="Times New Roman;Times;Serif"/>
          <w:b w:val="false"/>
          <w:i w:val="false"/>
          <w:caps w:val="false"/>
          <w:smallCaps w:val="false"/>
          <w:sz w:val="20"/>
        </w:rPr>
        <w:t>.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relates to the Shares or transactions contemplated hereby,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review, and to file with the Commission within the applicable period specified in Rule 424(b) under the Securities Act any prospectus required to be filed pursuant to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Use of Free Writing Prospectus</w:t>
      </w:r>
      <w:r>
        <w:rPr>
          <w:rFonts w:ascii="Times New Roman;Times;Serif" w:hAnsi="Times New Roman;Times;Serif"/>
          <w:b w:val="false"/>
          <w:i w:val="false"/>
          <w:caps w:val="false"/>
          <w:smallCaps w:val="false"/>
          <w:sz w:val="20"/>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consent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Filing of Agent Free Writing Prospectuses</w:t>
      </w:r>
      <w:r>
        <w:rPr>
          <w:rFonts w:ascii="Times New Roman;Times;Serif" w:hAnsi="Times New Roman;Times;Serif"/>
          <w:b w:val="false"/>
          <w:i w:val="false"/>
          <w:caps w:val="false"/>
          <w:smallCaps w:val="false"/>
          <w:sz w:val="20"/>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Copies of Registration Statement and Prospectus</w:t>
      </w:r>
      <w:r>
        <w:rPr>
          <w:rFonts w:ascii="Times New Roman;Times;Serif" w:hAnsi="Times New Roman;Times;Serif"/>
          <w:b w:val="false"/>
          <w:i w:val="false"/>
          <w:caps w:val="false"/>
          <w:smallCaps w:val="false"/>
          <w:sz w:val="20"/>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As soon as reasonably practicable, the Company will make generally available to its security holders and to the Agent an earnings statement (which need not be audited) covering a period of at least six months beginning with the first fiscal year of the Company occurring after the date of this Agreement which shall satisfy the provisions of Section 11(a) of the Securities Act and Rule 158 under the Securities Act. If the Company makes any public announcement or release disclosing its results of operations or financial condition for a completed quarterly or annual fiscal period and the Company has not yet filed an Annual Report on Form 20-F or furnished a Form 6-Kwith respect to such information, as applicable, then, prior to any sale of Shares, the Company shall be obligated to (x) file a prospectus supplement with the Commission under the applicable paragraph of Rule 424(b), which prospectus supplement shall include the applicable financial information or (y) furnish a Form 6-K, which Form 6-K shall include the applicable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Listing; Reservation of Shares</w:t>
      </w:r>
      <w:r>
        <w:rPr>
          <w:rFonts w:ascii="Times New Roman;Times;Serif" w:hAnsi="Times New Roman;Times;Serif"/>
          <w:b w:val="false"/>
          <w:i w:val="false"/>
          <w:caps w:val="false"/>
          <w:smallCaps w:val="false"/>
          <w:sz w:val="20"/>
        </w:rPr>
        <w:t>. The Company will use commercially reasonable effort to maintain the listing of the Shares on the Principal Market. In addition, the Company will reserve and keep available at all times, free of preemptive rights, Shares for the purpose of enabling the Company to satisfy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Deliverables at Triggering Event Dates; Certificates</w:t>
      </w:r>
      <w:r>
        <w:rPr>
          <w:rFonts w:ascii="Times New Roman;Times;Serif" w:hAnsi="Times New Roman;Times;Serif"/>
          <w:b w:val="false"/>
          <w:i w:val="false"/>
          <w:caps w:val="false"/>
          <w:smallCaps w:val="false"/>
          <w:sz w:val="20"/>
        </w:rPr>
        <w:t>. The Company agrees that on or prior to the date of the first Issuance Notice and, during the term of this Agreement after the date of the first Issuance Notice, upon: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filing with the Commission of an Annual Report on Form 20-F (including any Form 20-F/A containing amended financial information or a material amendment to the previously filed Annual Report on Form 20-F) of the Company;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furnishing with the Commission of a Report on Form 6-K of the Company containing amended financial information that is material to the offering of securities of the Company in the Agent’s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event, a “</w:t>
      </w:r>
      <w:r>
        <w:rPr>
          <w:rFonts w:ascii="Times New Roman;Times;Serif" w:hAnsi="Times New Roman;Times;Serif"/>
          <w:b/>
          <w:i w:val="false"/>
          <w:caps w:val="false"/>
          <w:smallCaps w:val="false"/>
          <w:sz w:val="20"/>
        </w:rPr>
        <w:t>Triggering Event Date</w:t>
      </w:r>
      <w:r>
        <w:rPr>
          <w:rFonts w:ascii="Times New Roman;Times;Serif" w:hAnsi="Times New Roman;Times;Serif"/>
          <w:b w:val="false"/>
          <w:i w:val="false"/>
          <w:caps w:val="false"/>
          <w:smallCaps w:val="false"/>
          <w:sz w:val="20"/>
        </w:rPr>
        <w:t xml:space="preserve">”), the Company shall furnish the Agent (but in the case of clause (C) above, only if the Agent reasonably determines that the information contained in such Form 6-K of the Company is material) with a certificate as of the Triggering Event Date, in the form and substance reasonably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Times;Serif" w:hAnsi="Times New Roman;Times;Serif"/>
          <w:b w:val="false"/>
          <w:i w:val="false"/>
          <w:caps w:val="false"/>
          <w:smallCaps w:val="false"/>
          <w:sz w:val="20"/>
          <w:u w:val="single"/>
        </w:rPr>
        <w:t>Section 5(a)(iii)</w:t>
      </w:r>
      <w:r>
        <w:rPr>
          <w:rFonts w:ascii="Times New Roman;Times;Serif" w:hAnsi="Times New Roman;Times;Serif"/>
          <w:b w:val="false"/>
          <w:i w:val="false"/>
          <w:caps w:val="false"/>
          <w:smallCaps w:val="false"/>
          <w:sz w:val="20"/>
        </w:rPr>
        <w:t xml:space="preserve"> hereof; and (C) containing any other certification that the Agent shall reasonably request. The requirement to provide a certificate under this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dated as of the date that the instructions for the sale of Shares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xml:space="preserve">. On or prior to the date of the first Issuance Notice and within five (5) Trading Days after each Triggering Event Date with respect to which the Company is obligated to deliver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for which no waiver is applicable and excluding the date of this Agreement, a negative assurances letter and the written legal opinion of Hunter Taubman Fischer &amp; Li LLC, counsel to the Company,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of the first Issuance Notice and on or prior to each Triggering Event Date with respect to which the Company is obligated to deliver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for which no waiver is applicable and excluding the date of this Agreement, the Company shall cause the Accountants,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on the date of occurrence of any material transaction or event requiring the furnishing of a Form 6-K containing material amended financial information of the Company, including the restatement of the Company’s financial statements. The Company shall be required to furnish no more than one comfort letter hereunder per each filing of an Annual Report on Form 20-F and, notwithstanding the foregoing, shall not be required to furnish a comfort letter upon the furnishing of a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Agent’s Own Account; Clients’ Account</w:t>
      </w:r>
      <w:r>
        <w:rPr>
          <w:rFonts w:ascii="Times New Roman;Times;Serif" w:hAnsi="Times New Roman;Times;Serif"/>
          <w:b w:val="false"/>
          <w:i w:val="false"/>
          <w:caps w:val="false"/>
          <w:smallCaps w:val="false"/>
          <w:sz w:val="20"/>
        </w:rPr>
        <w:t>. The Company consents to the Agent trading, in compliance with applicable law, in the Ordinary Shares for the Agent’s own account and for the account of its clients at the same time as sales of the Shares occur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Investment Limitation</w:t>
      </w:r>
      <w:r>
        <w:rPr>
          <w:rFonts w:ascii="Times New Roman;Times;Serif" w:hAnsi="Times New Roman;Times;Serif"/>
          <w:b w:val="false"/>
          <w:i w:val="false"/>
          <w:caps w:val="false"/>
          <w:smallCaps w:val="false"/>
          <w:sz w:val="20"/>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Notice of Other Sale</w:t>
      </w:r>
      <w:r>
        <w:rPr>
          <w:rFonts w:ascii="Times New Roman;Times;Serif" w:hAnsi="Times New Roman;Times;Serif"/>
          <w:b w:val="false"/>
          <w:i w:val="false"/>
          <w:caps w:val="false"/>
          <w:smallCaps w:val="false"/>
          <w:sz w:val="20"/>
        </w:rPr>
        <w:t>. Without the written consent of the Agent, the Company will not, directly or indirectly, offer to sell, sell, contract to sell, grant any option to sell or otherwise dispose of any Ordinary Shares or securities convertible into or exchangeable for Ordinary Shares (other than Shares hereunder), warrants or any rights to purchase or acquire Ordinary Shares, or effect a reverse stock split, recapitalization, share consolidation, reclassification or similar transaction affecting the outstanding Ordinary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Ordinary Shares (other than the Shares offered pursuant to this Agreement) or securities convertible into or exchangeable for Ordinary Shares, warrants or any rights to purchase or acquire, Ordinary Shares prior to the termination of this Agreement; provided, however, that such restrictions will not be required in connection with the Company’s: (i) issuance or sale of Ordinary Shares, options to purchase Ordinary Shares or Ordinary Shares issuable upon the exercise of options or other equity awards pursuant to any employee or director share option, incentive or benefit plan, share purchase or ownership plan, long-term incentive plan, dividend reinvestment plan, inducement award under the rules of the Principal Market or other compensation plan of the Company or its subsidiaries, as in effect on the date of this Agreement; (ii) issuance or sale of Ordinary Shares issuable upon exchange, conversion or redemption of securities or the exercise or vesting of warrants, options or other equity awards outstanding at the date of this Agreement; and (iii) modification of any outstanding options, warrants of any rights to purchase or acquire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CONDITIONS TO DELIVERY OF ISSUANCE NOTICES AND TO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Conditions Precedent to the Right of the Company to Deliver an Issuance Notice and the Obligation of the Agent to Sell Shares</w:t>
      </w:r>
      <w:r>
        <w:rPr>
          <w:rFonts w:ascii="Times New Roman;Times;Serif" w:hAnsi="Times New Roman;Times;Serif"/>
          <w:b w:val="false"/>
          <w:i w:val="false"/>
          <w:caps w:val="false"/>
          <w:smallCaps w:val="false"/>
          <w:sz w:val="20"/>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Accuracy of the Company’s Representations and Warranties; Performance by the Company</w:t>
      </w:r>
      <w:r>
        <w:rPr>
          <w:rFonts w:ascii="Times New Roman;Times;Serif" w:hAnsi="Times New Roman;Times;Serif"/>
          <w:b w:val="false"/>
          <w:i w:val="false"/>
          <w:caps w:val="false"/>
          <w:smallCaps w:val="false"/>
          <w:sz w:val="20"/>
        </w:rPr>
        <w:t xml:space="preserve">. The Company shall have delivered the certificate required to be delivered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Times;Serif" w:hAnsi="Times New Roman;Times;Serif"/>
          <w:b w:val="false"/>
          <w:i w:val="false"/>
          <w:caps w:val="false"/>
          <w:smallCaps w:val="false"/>
          <w:sz w:val="20"/>
          <w:u w:val="single"/>
        </w:rPr>
        <w:t>‎Section 4(p)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4(q)</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Material Adverse Changes</w:t>
      </w:r>
      <w:r>
        <w:rPr>
          <w:rFonts w:ascii="Times New Roman;Times;Serif" w:hAnsi="Times New Roman;Times;Serif"/>
          <w:b w:val="false"/>
          <w:i w:val="false"/>
          <w:caps w:val="false"/>
          <w:smallCaps w:val="false"/>
          <w:sz w:val="20"/>
        </w:rPr>
        <w:t>. Except as disclosed in the Prospectus and the Time of Sale Information: (a) in the judgment of the Agent there shall not have occurred any Material Adverse Change within the prior two Trading Days as of the date of delivery of the applicable Issuance Notice;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No Suspension of Trading in or Delisting of Ordinary Shares; Other Events</w:t>
      </w:r>
      <w:r>
        <w:rPr>
          <w:rFonts w:ascii="Times New Roman;Times;Serif" w:hAnsi="Times New Roman;Times;Serif"/>
          <w:b w:val="false"/>
          <w:i w:val="false"/>
          <w:caps w:val="false"/>
          <w:smallCaps w:val="false"/>
          <w:sz w:val="20"/>
        </w:rPr>
        <w:t>. The trading of the Ordinary Shares (including without limitation the Shares) shall not have been suspended by the Commission, the Principal Market or FINRA and the Ordinary Shares (including without limitation the Shares) shall have been approved for listing or quotation on and shall not have been delisted from the Principal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Documents Required to be Delivered on each Issuance Notice Date</w:t>
      </w:r>
      <w:r>
        <w:rPr>
          <w:rFonts w:ascii="Times New Roman;Times;Serif" w:hAnsi="Times New Roman;Times;Serif"/>
          <w:b w:val="false"/>
          <w:i w:val="false"/>
          <w:caps w:val="false"/>
          <w:smallCaps w:val="false"/>
          <w:sz w:val="20"/>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INDEMNIFICATION AND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of the Agent</w:t>
      </w:r>
      <w:r>
        <w:rPr>
          <w:rFonts w:ascii="Times New Roman;Times;Serif" w:hAnsi="Times New Roman;Times;Serif"/>
          <w:b w:val="false"/>
          <w:i w:val="false"/>
          <w:caps w:val="false"/>
          <w:smallCaps w:val="false"/>
          <w:sz w:val="20"/>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reasonable and documented expenses (including the fees and disbursements of counsel chosen by the Agent) as such expenses are documented and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shall be in addition to any liabilities that the Company may otherwise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of the Company, its Directors and Officers</w:t>
      </w:r>
      <w:r>
        <w:rPr>
          <w:rFonts w:ascii="Times New Roman;Times;Serif" w:hAnsi="Times New Roman;Times;Serif"/>
          <w:b w:val="false"/>
          <w:i w:val="false"/>
          <w:caps w:val="false"/>
          <w:smallCaps w:val="false"/>
          <w:sz w:val="20"/>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shall be in addition to any liabilities that the Agent may otherwise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Promptly after receipt by an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such indemnified party will, if a claim in respect thereof is to be made against an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The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or payable by a party as a result of the losses, claims, damages, liabilities and expenses referred to above shall be deemed to include, subject to the limitations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any reasonable and documented legal or other fees or expenses reasonably incurred by such party in connection with investigating or defending any action or claim. The provisions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with respect to notice of commencement of any action shall apply if a claim for contribution is to be made under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provided, however, that no additional notice shall be required with respect to any action for which notice has been given under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for purposes of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the Agent agree that it would not be just and equitable if contribution pursuant to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TERMINATION &amp; SURVIVAL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Subject to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 term of this Agreement shall continue from the date of this Agreement until the end of the Agency Period, unless earlier terminated by the parties to this Agreement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Survival Following Termination</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xml:space="preserve"> with respect to such Shares and (B)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survive termination of this Agreement. If termination shall occur prior to the Settlement Date for any sale of Shares, such sale shall nevertheless settle in accordance with the terms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survival provision of </w:t>
      </w:r>
      <w:r>
        <w:rPr>
          <w:rFonts w:ascii="Times New Roman;Times;Serif" w:hAnsi="Times New Roman;Times;Serif"/>
          <w:b w:val="false"/>
          <w:i w:val="false"/>
          <w:caps w:val="false"/>
          <w:smallCaps w:val="false"/>
          <w:sz w:val="20"/>
          <w:u w:val="single"/>
        </w:rPr>
        <w:t>‎Section 7(b)(i)</w:t>
      </w:r>
      <w:r>
        <w:rPr>
          <w:rFonts w:ascii="Times New Roman;Times;Serif" w:hAnsi="Times New Roman;Times;Serif"/>
          <w:b w:val="false"/>
          <w:i w:val="false"/>
          <w:caps w:val="false"/>
          <w:smallCaps w:val="false"/>
          <w:sz w:val="20"/>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Press Releases and Disclosure</w:t>
      </w:r>
      <w:r>
        <w:rPr>
          <w:rFonts w:ascii="Times New Roman;Times;Serif" w:hAnsi="Times New Roman;Times;Serif"/>
          <w:b w:val="false"/>
          <w:i w:val="false"/>
          <w:caps w:val="false"/>
          <w:smallCaps w:val="false"/>
          <w:sz w:val="20"/>
        </w:rPr>
        <w:t>. The Company may issue a press release describing the material terms of the transactions contemplated hereby as soon as practicable following the date of this Agreement, and may furnish with the Commission a Form 6-K,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(other than disclosure regarding sales of Ordinary Shares pursuant hereto on Form 6-K or Annual Reports on Form 20-F),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shall be in writing and shall be mailed, hand delivered, sent via electronic mail (if applicable) or telecopied and confirmed to the parties hereto as follows: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Capital Markets,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Worcester LLP</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E. Danovitch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Helport AI Limited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Temasek Boulevard #07-00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Suntec Tower Two</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038989</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Guanghai Li (liguanghai@helport.ai); Di Shen (shendi@helport.ai)</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19th Floor</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Ying Li, Esq. (yli@htflawyers.com); Lisa Forcht, Esq. (LForcht@htflawyers.com)</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party hereto may change the address for receipt of communications by giving written notice to the others in accordance with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xml:space="preserve">. This Agreement will inure to the benefit of and be binding upon the parties hereto, and to the benefit of the employees, officers and directors and controlling persons referred to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and in each case their respective successors, and no other person will have any right or obligation hereunder. The term “successors” shall not include any purchaser of the Shares as such from the Agent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Governing Law Provisions</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hereto acknowledge and agree that all share-related numbers contained in this Agreement shall be adjusted to take into account any stock split, stock dividend or similar event effected by the Company with respect to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Immediately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4320" w:right="0" w:hanging="0"/>
        <w:jc w:val="left"/>
        <w:rPr>
          <w:caps w:val="false"/>
          <w:smallCaps w:val="false"/>
        </w:rPr>
      </w:pPr>
      <w:r>
        <w:rPr>
          <w:caps w:val="false"/>
          <w:smallCaps w:val="false"/>
        </w:rPr>
        <w:t> </w:t>
      </w:r>
    </w:p>
    <w:tbl>
      <w:tblPr>
        <w:tblW w:w="9300" w:type="dxa"/>
        <w:jc w:val="left"/>
        <w:tblInd w:w="0" w:type="dxa"/>
        <w:tblLayout w:type="fixed"/>
        <w:tblCellMar>
          <w:top w:w="0" w:type="dxa"/>
          <w:left w:w="0" w:type="dxa"/>
          <w:bottom w:w="0" w:type="dxa"/>
          <w:right w:w="0" w:type="dxa"/>
        </w:tblCellMar>
      </w:tblPr>
      <w:tblGrid>
        <w:gridCol w:w="75"/>
        <w:gridCol w:w="365"/>
        <w:gridCol w:w="650"/>
        <w:gridCol w:w="8210"/>
      </w:tblGrid>
      <w:tr>
        <w:trPr/>
        <w:tc>
          <w:tcPr>
            <w:tcW w:w="75" w:type="dxa"/>
            <w:tcBorders/>
            <w:vAlign w:val="center"/>
          </w:tcPr>
          <w:p>
            <w:pPr>
              <w:pStyle w:val="TableContents"/>
              <w:bidi w:val="0"/>
              <w:spacing w:before="0" w:after="283"/>
              <w:jc w:val="left"/>
              <w:rPr/>
            </w:pPr>
            <w:r>
              <w:rPr/>
              <w:t> </w:t>
            </w:r>
          </w:p>
        </w:tc>
        <w:tc>
          <w:tcPr>
            <w:tcW w:w="9225"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5" w:type="dxa"/>
            <w:gridSpan w:val="3"/>
            <w:tcBorders/>
            <w:vAlign w:val="center"/>
          </w:tcPr>
          <w:p>
            <w:pPr>
              <w:pStyle w:val="TableContents"/>
              <w:bidi w:val="0"/>
              <w:spacing w:before="0" w:after="283"/>
              <w:jc w:val="left"/>
              <w:rPr>
                <w:b/>
              </w:rPr>
            </w:pPr>
            <w:r>
              <w:rPr>
                <w:b/>
              </w:rPr>
              <w:t>HELPORT AI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860"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/s/ Guanghai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8210" w:type="dxa"/>
            <w:tcBorders/>
            <w:vAlign w:val="center"/>
          </w:tcPr>
          <w:p>
            <w:pPr>
              <w:pStyle w:val="TableContents"/>
              <w:bidi w:val="0"/>
              <w:spacing w:before="0" w:after="283"/>
              <w:jc w:val="left"/>
              <w:rPr/>
            </w:pPr>
            <w:r>
              <w:rPr/>
              <w:t>Guanghai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8210" w:type="dxa"/>
            <w:tcBorders/>
            <w:vAlign w:val="center"/>
          </w:tcPr>
          <w:p>
            <w:pPr>
              <w:pStyle w:val="TableContents"/>
              <w:bidi w:val="0"/>
              <w:spacing w:before="0" w:after="283"/>
              <w:jc w:val="left"/>
              <w:rPr/>
            </w:pPr>
            <w:r>
              <w:rPr/>
              <w:t>Chief Executive Officer, Executive Director, and Chairman of the Board of Directors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by the Agent in New York, New York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479"/>
        <w:gridCol w:w="896"/>
        <w:gridCol w:w="3473"/>
        <w:gridCol w:w="75"/>
      </w:tblGrid>
      <w:tr>
        <w:trPr/>
        <w:tc>
          <w:tcPr>
            <w:tcW w:w="4848" w:type="dxa"/>
            <w:gridSpan w:val="3"/>
            <w:tcBorders/>
            <w:vAlign w:val="center"/>
          </w:tcPr>
          <w:p>
            <w:pPr>
              <w:pStyle w:val="TableContents"/>
              <w:bidi w:val="0"/>
              <w:spacing w:before="0" w:after="283"/>
              <w:jc w:val="left"/>
              <w:rPr>
                <w:b/>
              </w:rPr>
            </w:pPr>
            <w:r>
              <w:rPr>
                <w:b/>
              </w:rPr>
              <w:t>LAKE STREET CAPITAL MARKETS, LLC</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347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By:</w:t>
            </w:r>
          </w:p>
        </w:tc>
        <w:tc>
          <w:tcPr>
            <w:tcW w:w="4369"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/s/ Mike Townley</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Name: </w:t>
            </w:r>
          </w:p>
        </w:tc>
        <w:tc>
          <w:tcPr>
            <w:tcW w:w="3473" w:type="dxa"/>
            <w:tcBorders/>
            <w:vAlign w:val="center"/>
          </w:tcPr>
          <w:p>
            <w:pPr>
              <w:pStyle w:val="TableContents"/>
              <w:bidi w:val="0"/>
              <w:spacing w:before="0" w:after="283"/>
              <w:jc w:val="left"/>
              <w:rPr/>
            </w:pPr>
            <w:r>
              <w:rPr/>
              <w:t>Mike Townley</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Title: </w:t>
            </w:r>
          </w:p>
        </w:tc>
        <w:tc>
          <w:tcPr>
            <w:tcW w:w="3473" w:type="dxa"/>
            <w:tcBorders/>
            <w:vAlign w:val="center"/>
          </w:tcPr>
          <w:p>
            <w:pPr>
              <w:pStyle w:val="TableContents"/>
              <w:bidi w:val="0"/>
              <w:spacing w:before="0" w:after="283"/>
              <w:jc w:val="left"/>
              <w:rPr/>
            </w:pPr>
            <w:r>
              <w:rPr/>
              <w:t>Head of Investment Banking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Helport AI Limited Sales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Sales Agreement between Helport AI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Lake Street Capital Markets, LLC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dated as of July 10, 2026. The Company confirms that all conditions to the delivery of this Issuance Notice are satisfied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Delivery of Issuance Notice (determined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Amount (equal to the total Sales Price for such Shares):</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5360"/>
        <w:gridCol w:w="155"/>
      </w:tblGrid>
      <w:tr>
        <w:trPr/>
        <w:tc>
          <w:tcPr>
            <w:tcW w:w="536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3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Number of days in selling period:</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First date of selling period:</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Last date of selling period:</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both"/>
              <w:rPr/>
            </w:pPr>
            <w:r>
              <w:rPr/>
              <w:t>Settlement Date(s) if other than standard T+1 settlement:</w:t>
            </w:r>
          </w:p>
        </w:tc>
        <w:tc>
          <w:tcPr>
            <w:tcW w:w="15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Floor Price Limitation: $ ____ per share</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_________________________________________________________________________________________________________________________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60"/>
        <w:gridCol w:w="38"/>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6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Form of Officer’s Certificate Pursuant to Section 4(o)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duly qualified and elected [●] of Helport AI Limited, a British Virgin Islands business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does hereby certify in such capacity and on behalf of the Company,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of the Sales Agreement, dated July 10, 2026, between the Company and Lake Street Capital Markets, LLC (the “</w:t>
      </w:r>
      <w:r>
        <w:rPr>
          <w:rFonts w:ascii="Times New Roman;Times;Serif" w:hAnsi="Times New Roman;Times;Serif"/>
          <w:b/>
          <w:i w:val="false"/>
          <w:caps w:val="false"/>
          <w:smallCaps w:val="false"/>
          <w:sz w:val="20"/>
        </w:rPr>
        <w:t>Sale Agreement</w:t>
      </w:r>
      <w:r>
        <w:rPr>
          <w:rFonts w:ascii="Times New Roman;Times;Serif" w:hAnsi="Times New Roman;Times;Serif"/>
          <w:b w:val="false"/>
          <w:i w:val="false"/>
          <w:caps w:val="false"/>
          <w:smallCaps w:val="false"/>
          <w:sz w:val="20"/>
        </w:rPr>
        <w:t>”), that to the knowledge of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Sale Agreement are true and correct on and as of the date hereof with the same force and effect as if expressly made on and as of the date hereof; provided, however that such representations and warranties are qualified by the disclosure included or incorporated by reference in the Registration Statement and Prospectus (including any documents incorporated by reference therein and any supplements thereto);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all agreements and satisfied all conditions on its part to be performed or satisfied pursuant to the Sale Agreement at or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 and Sullivan &amp; Worcester LLP are entitled to rely on this certificate in connection with the respective opinions such firms are rendering pursuant to the Sale Agreement. Capitalized terms used herein without definition shall have the meanings given to such terms in the Sale Agreement.</w:t>
      </w:r>
    </w:p>
    <w:p>
      <w:pPr>
        <w:pStyle w:val="TextBody"/>
        <w:bidi w:val="0"/>
        <w:spacing w:before="0" w:after="0"/>
        <w:ind w:left="4320" w:right="0" w:hanging="0"/>
        <w:jc w:val="left"/>
        <w:rPr>
          <w:caps w:val="false"/>
          <w:smallCaps w:val="false"/>
        </w:rPr>
      </w:pPr>
      <w:r>
        <w:rPr>
          <w:caps w:val="false"/>
          <w:smallCaps w:val="false"/>
        </w:rPr>
        <w:t> </w:t>
      </w:r>
    </w:p>
    <w:tbl>
      <w:tblPr>
        <w:tblW w:w="2584" w:type="dxa"/>
        <w:jc w:val="left"/>
        <w:tblInd w:w="0" w:type="dxa"/>
        <w:tblLayout w:type="fixed"/>
        <w:tblCellMar>
          <w:top w:w="0" w:type="dxa"/>
          <w:left w:w="0" w:type="dxa"/>
          <w:bottom w:w="0" w:type="dxa"/>
          <w:right w:w="0" w:type="dxa"/>
        </w:tblCellMar>
      </w:tblPr>
      <w:tblGrid>
        <w:gridCol w:w="75"/>
        <w:gridCol w:w="2225"/>
        <w:gridCol w:w="284"/>
      </w:tblGrid>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HELPORT AI LIMITED</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By:</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Name:</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Title: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01699/000121390026034415/ea0283451-f3_helport.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26591</Words>
  <Characters>139034</Characters>
  <CharactersWithSpaces>165627</CharactersWithSpaces>
  <Paragraphs>1108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